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16" w:rsidRPr="003613CF" w:rsidRDefault="00441E16" w:rsidP="00441E16">
      <w:pPr>
        <w:pStyle w:val="Default"/>
        <w:spacing w:line="276" w:lineRule="auto"/>
        <w:jc w:val="center"/>
        <w:rPr>
          <w:b/>
          <w:sz w:val="28"/>
          <w:u w:val="single"/>
          <w:lang w:val="es-419"/>
        </w:rPr>
      </w:pPr>
      <w:r w:rsidRPr="003613CF">
        <w:rPr>
          <w:b/>
          <w:sz w:val="28"/>
          <w:u w:val="single"/>
          <w:lang w:val="es-419"/>
        </w:rPr>
        <w:t>Revisión final de ID390</w:t>
      </w: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bookmarkStart w:id="0" w:name="_GoBack"/>
      <w:bookmarkEnd w:id="0"/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>
        <w:rPr>
          <w:lang w:val="es-419"/>
        </w:rPr>
        <w:t xml:space="preserve">Estimado D. </w:t>
      </w:r>
      <w:proofErr w:type="spellStart"/>
      <w:r>
        <w:rPr>
          <w:lang w:val="es-419"/>
        </w:rPr>
        <w:t>Giovani</w:t>
      </w:r>
      <w:proofErr w:type="spellEnd"/>
      <w:r>
        <w:rPr>
          <w:lang w:val="es-419"/>
        </w:rPr>
        <w:t xml:space="preserve"> Parodi.</w:t>
      </w: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>
        <w:rPr>
          <w:lang w:val="es-419"/>
        </w:rPr>
        <w:t>Editor en Jefe</w:t>
      </w: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>
        <w:rPr>
          <w:lang w:val="es-419"/>
        </w:rPr>
        <w:t>En la siguiente carta damos cuenta de los cambios efectuados al trabajo.</w:t>
      </w:r>
      <w:r w:rsidR="00D809AD">
        <w:rPr>
          <w:lang w:val="es-419"/>
        </w:rPr>
        <w:t xml:space="preserve"> </w:t>
      </w:r>
      <w:r w:rsidR="00C6157F">
        <w:rPr>
          <w:lang w:val="es-419"/>
        </w:rPr>
        <w:t xml:space="preserve">Como podrán </w:t>
      </w:r>
      <w:r w:rsidR="00FF2556">
        <w:rPr>
          <w:lang w:val="es-419"/>
        </w:rPr>
        <w:t>comprobar</w:t>
      </w:r>
      <w:r w:rsidR="00C6157F">
        <w:rPr>
          <w:lang w:val="es-419"/>
        </w:rPr>
        <w:t>, h</w:t>
      </w:r>
      <w:r w:rsidR="00C6157F">
        <w:rPr>
          <w:lang w:val="es-419"/>
        </w:rPr>
        <w:t xml:space="preserve">emos </w:t>
      </w:r>
      <w:r w:rsidR="00FF2556">
        <w:rPr>
          <w:lang w:val="es-419"/>
        </w:rPr>
        <w:t>a</w:t>
      </w:r>
      <w:r w:rsidR="00C6157F">
        <w:rPr>
          <w:lang w:val="es-419"/>
        </w:rPr>
        <w:t>ten</w:t>
      </w:r>
      <w:r w:rsidR="00FF2556">
        <w:rPr>
          <w:lang w:val="es-419"/>
        </w:rPr>
        <w:t>d</w:t>
      </w:r>
      <w:r w:rsidR="00C6157F">
        <w:rPr>
          <w:lang w:val="es-419"/>
        </w:rPr>
        <w:t xml:space="preserve">ido todos los comentarios de los evaluadores. </w:t>
      </w:r>
      <w:r w:rsidR="00FF2556">
        <w:rPr>
          <w:lang w:val="es-419"/>
        </w:rPr>
        <w:t>Indicamos en</w:t>
      </w:r>
      <w:r w:rsidR="00D809AD">
        <w:rPr>
          <w:lang w:val="es-419"/>
        </w:rPr>
        <w:t xml:space="preserve"> </w:t>
      </w:r>
      <w:r w:rsidR="00FF2556">
        <w:rPr>
          <w:lang w:val="es-419"/>
        </w:rPr>
        <w:t xml:space="preserve">amarillo en </w:t>
      </w:r>
      <w:r w:rsidR="00D809AD">
        <w:rPr>
          <w:lang w:val="es-419"/>
        </w:rPr>
        <w:t xml:space="preserve">el </w:t>
      </w:r>
      <w:r w:rsidR="00FF2556">
        <w:rPr>
          <w:lang w:val="es-419"/>
        </w:rPr>
        <w:t xml:space="preserve">documento todas </w:t>
      </w:r>
      <w:r w:rsidR="00D809AD">
        <w:rPr>
          <w:lang w:val="es-419"/>
        </w:rPr>
        <w:t xml:space="preserve">las modificaciones </w:t>
      </w:r>
      <w:r w:rsidR="00FF2556">
        <w:rPr>
          <w:lang w:val="es-419"/>
        </w:rPr>
        <w:t xml:space="preserve">efectuadas </w:t>
      </w:r>
      <w:r w:rsidR="00D809AD">
        <w:rPr>
          <w:lang w:val="es-419"/>
        </w:rPr>
        <w:t>para facilitar su identificación</w:t>
      </w:r>
      <w:r w:rsidR="00C6157F">
        <w:rPr>
          <w:lang w:val="es-419"/>
        </w:rPr>
        <w:t xml:space="preserve"> y lectura</w:t>
      </w:r>
      <w:r w:rsidR="00D809AD">
        <w:rPr>
          <w:lang w:val="es-419"/>
        </w:rPr>
        <w:t>.</w:t>
      </w: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</w:p>
    <w:p w:rsidR="00441E16" w:rsidRP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ABSTRACT </w:t>
      </w:r>
    </w:p>
    <w:p w:rsidR="00BD2557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•p. 2. Hay algún problema con la versión inglesa del </w:t>
      </w:r>
      <w:proofErr w:type="spellStart"/>
      <w:r w:rsidRPr="00441E16">
        <w:rPr>
          <w:lang w:val="es-419"/>
        </w:rPr>
        <w:t>abstract</w:t>
      </w:r>
      <w:proofErr w:type="spellEnd"/>
      <w:r w:rsidRPr="00441E16">
        <w:rPr>
          <w:lang w:val="es-419"/>
        </w:rPr>
        <w:t xml:space="preserve">. La primera frase no suena natural. </w:t>
      </w:r>
      <w:r w:rsidRPr="00441E16">
        <w:rPr>
          <w:lang w:val="en-CA"/>
        </w:rPr>
        <w:t xml:space="preserve">Una </w:t>
      </w:r>
      <w:proofErr w:type="spellStart"/>
      <w:r w:rsidRPr="00441E16">
        <w:rPr>
          <w:lang w:val="en-CA"/>
        </w:rPr>
        <w:t>alternativa</w:t>
      </w:r>
      <w:proofErr w:type="spellEnd"/>
      <w:r w:rsidRPr="00441E16">
        <w:rPr>
          <w:lang w:val="en-CA"/>
        </w:rPr>
        <w:t xml:space="preserve"> que </w:t>
      </w:r>
      <w:proofErr w:type="spellStart"/>
      <w:r w:rsidRPr="00441E16">
        <w:rPr>
          <w:lang w:val="en-CA"/>
        </w:rPr>
        <w:t>parece</w:t>
      </w:r>
      <w:proofErr w:type="spellEnd"/>
      <w:r w:rsidRPr="00441E16">
        <w:rPr>
          <w:lang w:val="en-CA"/>
        </w:rPr>
        <w:t xml:space="preserve"> más </w:t>
      </w:r>
      <w:proofErr w:type="spellStart"/>
      <w:r w:rsidRPr="00441E16">
        <w:rPr>
          <w:lang w:val="en-CA"/>
        </w:rPr>
        <w:t>adecuada</w:t>
      </w:r>
      <w:proofErr w:type="spellEnd"/>
      <w:r w:rsidRPr="00441E16">
        <w:rPr>
          <w:lang w:val="en-CA"/>
        </w:rPr>
        <w:t xml:space="preserve"> es la siguiente: “This paper takes a quantitative approach to analyzing the behavior of Spanish synthetic comparatives when they are preceded by the </w:t>
      </w:r>
      <w:proofErr w:type="gramStart"/>
      <w:r w:rsidRPr="00441E16">
        <w:rPr>
          <w:lang w:val="en-CA"/>
        </w:rPr>
        <w:t>quantifiers</w:t>
      </w:r>
      <w:proofErr w:type="gramEnd"/>
      <w:r w:rsidRPr="00441E16">
        <w:rPr>
          <w:lang w:val="en-CA"/>
        </w:rPr>
        <w:t xml:space="preserve"> más and menos.” </w:t>
      </w:r>
      <w:r w:rsidRPr="00441E16">
        <w:rPr>
          <w:lang w:val="es-419"/>
        </w:rPr>
        <w:t xml:space="preserve">Quizá convendría que un hablante nativo de inglés revisara el </w:t>
      </w:r>
      <w:proofErr w:type="spellStart"/>
      <w:r w:rsidRPr="00441E16">
        <w:rPr>
          <w:lang w:val="es-419"/>
        </w:rPr>
        <w:t>abstract</w:t>
      </w:r>
      <w:proofErr w:type="spellEnd"/>
      <w:r w:rsidRPr="00441E16">
        <w:rPr>
          <w:lang w:val="es-419"/>
        </w:rPr>
        <w:t xml:space="preserve">. </w:t>
      </w:r>
    </w:p>
    <w:p w:rsidR="00D809AD" w:rsidRPr="00BD2557" w:rsidRDefault="00D809AD" w:rsidP="00BD2557">
      <w:pPr>
        <w:pStyle w:val="Default"/>
        <w:spacing w:after="120" w:line="276" w:lineRule="auto"/>
        <w:jc w:val="both"/>
        <w:rPr>
          <w:lang w:val="en-GB"/>
        </w:rPr>
      </w:pPr>
      <w:r w:rsidRPr="00D809AD">
        <w:rPr>
          <w:color w:val="0070C0"/>
          <w:lang w:val="en-GB"/>
        </w:rPr>
        <w:t xml:space="preserve">Se ha </w:t>
      </w:r>
      <w:proofErr w:type="spellStart"/>
      <w:r w:rsidRPr="00D809AD">
        <w:rPr>
          <w:color w:val="0070C0"/>
          <w:lang w:val="en-GB"/>
        </w:rPr>
        <w:t>modificado</w:t>
      </w:r>
      <w:proofErr w:type="spellEnd"/>
      <w:r w:rsidRPr="00D809AD">
        <w:rPr>
          <w:color w:val="0070C0"/>
          <w:lang w:val="en-GB"/>
        </w:rPr>
        <w:t xml:space="preserve"> la </w:t>
      </w:r>
      <w:proofErr w:type="spellStart"/>
      <w:r w:rsidRPr="00D809AD">
        <w:rPr>
          <w:color w:val="0070C0"/>
          <w:lang w:val="en-GB"/>
        </w:rPr>
        <w:t>primera</w:t>
      </w:r>
      <w:proofErr w:type="spellEnd"/>
      <w:r w:rsidRPr="00D809AD">
        <w:rPr>
          <w:color w:val="0070C0"/>
          <w:lang w:val="en-GB"/>
        </w:rPr>
        <w:t xml:space="preserve"> </w:t>
      </w:r>
      <w:proofErr w:type="spellStart"/>
      <w:r w:rsidRPr="00D809AD">
        <w:rPr>
          <w:color w:val="0070C0"/>
          <w:lang w:val="en-GB"/>
        </w:rPr>
        <w:t>frase</w:t>
      </w:r>
      <w:proofErr w:type="spellEnd"/>
      <w:r w:rsidRPr="00D809AD">
        <w:rPr>
          <w:color w:val="0070C0"/>
          <w:lang w:val="en-GB"/>
        </w:rPr>
        <w:t xml:space="preserve">, </w:t>
      </w:r>
      <w:proofErr w:type="spellStart"/>
      <w:r w:rsidRPr="00D809AD">
        <w:rPr>
          <w:color w:val="0070C0"/>
          <w:lang w:val="en-GB"/>
        </w:rPr>
        <w:t>siguiendo</w:t>
      </w:r>
      <w:proofErr w:type="spellEnd"/>
      <w:r w:rsidRPr="00D809AD">
        <w:rPr>
          <w:color w:val="0070C0"/>
          <w:lang w:val="en-GB"/>
        </w:rPr>
        <w:t xml:space="preserve"> la </w:t>
      </w:r>
      <w:proofErr w:type="spellStart"/>
      <w:r w:rsidRPr="00D809AD">
        <w:rPr>
          <w:color w:val="0070C0"/>
          <w:lang w:val="en-GB"/>
        </w:rPr>
        <w:t>sugerencia</w:t>
      </w:r>
      <w:proofErr w:type="spellEnd"/>
      <w:r w:rsidRPr="00D809AD">
        <w:rPr>
          <w:color w:val="0070C0"/>
          <w:lang w:val="en-GB"/>
        </w:rPr>
        <w:t xml:space="preserve"> de los </w:t>
      </w:r>
      <w:proofErr w:type="spellStart"/>
      <w:r w:rsidRPr="00D809AD">
        <w:rPr>
          <w:color w:val="0070C0"/>
          <w:lang w:val="en-GB"/>
        </w:rPr>
        <w:t>revisores</w:t>
      </w:r>
      <w:proofErr w:type="spellEnd"/>
      <w:r w:rsidRPr="00D809AD">
        <w:rPr>
          <w:color w:val="0070C0"/>
          <w:lang w:val="en-GB"/>
        </w:rPr>
        <w:t xml:space="preserve">: </w:t>
      </w:r>
      <w:r>
        <w:rPr>
          <w:color w:val="0070C0"/>
          <w:lang w:val="en-GB"/>
        </w:rPr>
        <w:t>“</w:t>
      </w:r>
      <w:r w:rsidRPr="00D809AD">
        <w:rPr>
          <w:color w:val="0070C0"/>
          <w:lang w:val="en-CA"/>
        </w:rPr>
        <w:t>T</w:t>
      </w:r>
      <w:r w:rsidRPr="00D809AD">
        <w:rPr>
          <w:color w:val="0070C0"/>
          <w:lang w:val="en"/>
        </w:rPr>
        <w:t xml:space="preserve">his paper takes a quantitative approach to analyzing the behavior of Spanish synthetic comparatives when they are preceded by the </w:t>
      </w:r>
      <w:proofErr w:type="gramStart"/>
      <w:r w:rsidRPr="00D809AD">
        <w:rPr>
          <w:color w:val="0070C0"/>
          <w:lang w:val="en"/>
        </w:rPr>
        <w:t>quantifiers</w:t>
      </w:r>
      <w:proofErr w:type="gramEnd"/>
      <w:r w:rsidRPr="00D809AD">
        <w:rPr>
          <w:color w:val="0070C0"/>
          <w:lang w:val="en"/>
        </w:rPr>
        <w:t xml:space="preserve"> </w:t>
      </w:r>
      <w:r w:rsidRPr="00D809AD">
        <w:rPr>
          <w:i/>
          <w:color w:val="0070C0"/>
          <w:lang w:val="en"/>
        </w:rPr>
        <w:t>más</w:t>
      </w:r>
      <w:r w:rsidRPr="00D809AD">
        <w:rPr>
          <w:color w:val="0070C0"/>
          <w:lang w:val="en"/>
        </w:rPr>
        <w:t xml:space="preserve"> and </w:t>
      </w:r>
      <w:r w:rsidRPr="00D809AD">
        <w:rPr>
          <w:i/>
          <w:color w:val="0070C0"/>
          <w:lang w:val="en"/>
        </w:rPr>
        <w:t>meno</w:t>
      </w:r>
      <w:r w:rsidRPr="00D809AD">
        <w:rPr>
          <w:color w:val="0070C0"/>
          <w:lang w:val="en-CA"/>
        </w:rPr>
        <w:t>s</w:t>
      </w:r>
      <w:r>
        <w:rPr>
          <w:color w:val="0070C0"/>
          <w:lang w:val="en-CA"/>
        </w:rPr>
        <w:t>”.</w:t>
      </w:r>
    </w:p>
    <w:p w:rsidR="00D809AD" w:rsidRPr="00D809AD" w:rsidRDefault="00D809AD" w:rsidP="00441E16">
      <w:pPr>
        <w:pStyle w:val="Default"/>
        <w:spacing w:line="276" w:lineRule="auto"/>
        <w:jc w:val="both"/>
        <w:rPr>
          <w:color w:val="0070C0"/>
          <w:lang w:val="es-ES"/>
        </w:rPr>
      </w:pPr>
      <w:r w:rsidRPr="00D809AD">
        <w:rPr>
          <w:color w:val="0070C0"/>
          <w:lang w:val="es-ES"/>
        </w:rPr>
        <w:t xml:space="preserve">Se ha revisado todo el </w:t>
      </w:r>
      <w:proofErr w:type="spellStart"/>
      <w:r w:rsidRPr="00D809AD">
        <w:rPr>
          <w:color w:val="0070C0"/>
          <w:lang w:val="es-ES"/>
        </w:rPr>
        <w:t>abstract</w:t>
      </w:r>
      <w:proofErr w:type="spellEnd"/>
      <w:r w:rsidRPr="00D809AD">
        <w:rPr>
          <w:color w:val="0070C0"/>
          <w:lang w:val="es-ES"/>
        </w:rPr>
        <w:t>.</w:t>
      </w:r>
    </w:p>
    <w:p w:rsidR="00D809AD" w:rsidRPr="00D809AD" w:rsidRDefault="00D809AD" w:rsidP="00441E16">
      <w:pPr>
        <w:pStyle w:val="Default"/>
        <w:spacing w:line="276" w:lineRule="auto"/>
        <w:jc w:val="both"/>
        <w:rPr>
          <w:lang w:val="es-ES"/>
        </w:rPr>
      </w:pPr>
    </w:p>
    <w:p w:rsidR="00765A7C" w:rsidRPr="00D809AD" w:rsidRDefault="00765A7C" w:rsidP="00441E16">
      <w:pPr>
        <w:pStyle w:val="Default"/>
        <w:spacing w:line="276" w:lineRule="auto"/>
        <w:jc w:val="both"/>
        <w:rPr>
          <w:lang w:val="es-ES"/>
        </w:rPr>
      </w:pPr>
    </w:p>
    <w:p w:rsidR="00441E16" w:rsidRP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INTRODUCCIÓN </w:t>
      </w:r>
    </w:p>
    <w:p w:rsidR="00441E16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•La nota 2 podría incluirse en el texto principal. Convendría cambiar la forma es por son, ya que se refiere a “las construcciones” (plural). </w:t>
      </w:r>
    </w:p>
    <w:p w:rsidR="00765A7C" w:rsidRPr="00D809AD" w:rsidRDefault="00D809AD" w:rsidP="00441E16">
      <w:pPr>
        <w:pStyle w:val="Default"/>
        <w:spacing w:line="276" w:lineRule="auto"/>
        <w:jc w:val="both"/>
        <w:rPr>
          <w:color w:val="0070C0"/>
          <w:lang w:val="es-419"/>
        </w:rPr>
      </w:pPr>
      <w:r>
        <w:rPr>
          <w:color w:val="0070C0"/>
          <w:lang w:val="es-419"/>
        </w:rPr>
        <w:t xml:space="preserve">P. 3. </w:t>
      </w:r>
      <w:r w:rsidRPr="00D809AD">
        <w:rPr>
          <w:color w:val="0070C0"/>
          <w:lang w:val="es-419"/>
        </w:rPr>
        <w:t xml:space="preserve">Se ha incluido la nota 2 en el cuerpo </w:t>
      </w:r>
      <w:r>
        <w:rPr>
          <w:color w:val="0070C0"/>
          <w:lang w:val="es-419"/>
        </w:rPr>
        <w:t>del texto</w:t>
      </w:r>
      <w:r w:rsidRPr="00D809AD">
        <w:rPr>
          <w:color w:val="0070C0"/>
          <w:lang w:val="es-419"/>
        </w:rPr>
        <w:t xml:space="preserve"> y se ha sustituido “es” por “son”: </w:t>
      </w:r>
      <w:r>
        <w:rPr>
          <w:color w:val="0070C0"/>
          <w:lang w:val="es-419"/>
        </w:rPr>
        <w:t>“</w:t>
      </w:r>
      <w:r w:rsidRPr="00D809AD">
        <w:rPr>
          <w:color w:val="0070C0"/>
          <w:lang w:val="es-ES"/>
        </w:rPr>
        <w:t>También son uno de los errores más comunes que cometen los aprendices de español como lengua extranjera (Robles Ávila 1998: 689)</w:t>
      </w:r>
      <w:r>
        <w:rPr>
          <w:iCs/>
          <w:color w:val="0070C0"/>
          <w:lang w:val="es-ES"/>
        </w:rPr>
        <w:t>”.</w:t>
      </w:r>
    </w:p>
    <w:p w:rsidR="00765A7C" w:rsidRDefault="00765A7C" w:rsidP="00441E16">
      <w:pPr>
        <w:pStyle w:val="Default"/>
        <w:spacing w:line="276" w:lineRule="auto"/>
        <w:jc w:val="both"/>
        <w:rPr>
          <w:lang w:val="es-419"/>
        </w:rPr>
      </w:pPr>
    </w:p>
    <w:p w:rsidR="00D809AD" w:rsidRDefault="00D809AD" w:rsidP="00441E16">
      <w:pPr>
        <w:pStyle w:val="Default"/>
        <w:spacing w:line="276" w:lineRule="auto"/>
        <w:jc w:val="both"/>
        <w:rPr>
          <w:lang w:val="es-419"/>
        </w:rPr>
      </w:pPr>
    </w:p>
    <w:p w:rsidR="00441E16" w:rsidRP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1. NUEVOS DATOS </w:t>
      </w:r>
    </w:p>
    <w:p w:rsidR="00D809AD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•p. 4. Se afirma que MAGIS MELIOR y MAGIS MAIORES se documentan ya en latín. Sería conveniente incluir algún ejemplo que lo demostrara. </w:t>
      </w:r>
    </w:p>
    <w:p w:rsidR="00D809AD" w:rsidRPr="00D809AD" w:rsidRDefault="00D809AD" w:rsidP="00D809AD">
      <w:pPr>
        <w:pStyle w:val="Default"/>
        <w:spacing w:line="276" w:lineRule="auto"/>
        <w:jc w:val="both"/>
        <w:rPr>
          <w:color w:val="0070C0"/>
          <w:lang w:val="es-419"/>
        </w:rPr>
      </w:pPr>
      <w:r>
        <w:rPr>
          <w:color w:val="0070C0"/>
          <w:lang w:val="es-419"/>
        </w:rPr>
        <w:t xml:space="preserve">P. 4. </w:t>
      </w:r>
      <w:r w:rsidRPr="00D809AD">
        <w:rPr>
          <w:color w:val="0070C0"/>
          <w:lang w:val="es-419"/>
        </w:rPr>
        <w:t xml:space="preserve">Se han indicado ejemplos del latín: </w:t>
      </w:r>
      <w:r>
        <w:rPr>
          <w:color w:val="0070C0"/>
          <w:lang w:val="es-419"/>
        </w:rPr>
        <w:t>“</w:t>
      </w:r>
      <w:r w:rsidRPr="00D809AD">
        <w:rPr>
          <w:color w:val="0070C0"/>
          <w:lang w:val="es-ES"/>
        </w:rPr>
        <w:t xml:space="preserve">Antes de presentar los datos de nuestra investigación hay que recordar que estas combinaciones se documentan ya en el mismo latín: </w:t>
      </w:r>
      <w:r w:rsidRPr="00D809AD">
        <w:rPr>
          <w:smallCaps/>
          <w:color w:val="0070C0"/>
          <w:lang w:val="es-ES"/>
        </w:rPr>
        <w:t xml:space="preserve">magis melior </w:t>
      </w:r>
      <w:r w:rsidRPr="00D809AD">
        <w:rPr>
          <w:color w:val="0070C0"/>
          <w:shd w:val="clear" w:color="auto" w:fill="FFFFFF"/>
          <w:lang w:val="es-419"/>
        </w:rPr>
        <w:t>(Vitruvio)</w:t>
      </w:r>
      <w:r w:rsidRPr="00D809AD">
        <w:rPr>
          <w:color w:val="0070C0"/>
          <w:lang w:val="es-419"/>
        </w:rPr>
        <w:t xml:space="preserve">, </w:t>
      </w:r>
      <w:r w:rsidRPr="00D809AD">
        <w:rPr>
          <w:smallCaps/>
          <w:color w:val="0070C0"/>
          <w:lang w:val="es-419"/>
        </w:rPr>
        <w:t>magis maiores</w:t>
      </w:r>
      <w:r w:rsidRPr="00D809AD">
        <w:rPr>
          <w:color w:val="0070C0"/>
          <w:lang w:val="es-419"/>
        </w:rPr>
        <w:t xml:space="preserve"> (</w:t>
      </w:r>
      <w:r w:rsidRPr="00D809AD">
        <w:rPr>
          <w:i/>
          <w:color w:val="0070C0"/>
          <w:lang w:val="es-419"/>
        </w:rPr>
        <w:t xml:space="preserve">qui dederit, magis maiores </w:t>
      </w:r>
      <w:r w:rsidRPr="00D809AD">
        <w:rPr>
          <w:i/>
          <w:color w:val="0070C0"/>
          <w:lang w:val="es-419"/>
        </w:rPr>
        <w:lastRenderedPageBreak/>
        <w:t xml:space="preserve">nugas egerit </w:t>
      </w:r>
      <w:r w:rsidRPr="00D809AD">
        <w:rPr>
          <w:color w:val="0070C0"/>
          <w:lang w:val="es-419"/>
        </w:rPr>
        <w:t xml:space="preserve">(Plauto, </w:t>
      </w:r>
      <w:r w:rsidRPr="00D809AD">
        <w:rPr>
          <w:i/>
          <w:color w:val="0070C0"/>
          <w:lang w:val="es-419"/>
        </w:rPr>
        <w:t xml:space="preserve">Menaechmi, </w:t>
      </w:r>
      <w:r w:rsidRPr="00D809AD">
        <w:rPr>
          <w:color w:val="0070C0"/>
          <w:lang w:val="es-419"/>
        </w:rPr>
        <w:t xml:space="preserve">55)) (cf. Meyer-Lübke 1900: § 47, Grandgent 1970: 66, Vigara Tauste 2010: </w:t>
      </w:r>
      <w:r>
        <w:rPr>
          <w:color w:val="0070C0"/>
          <w:lang w:val="es-419"/>
        </w:rPr>
        <w:t>134-135)”.</w:t>
      </w:r>
    </w:p>
    <w:p w:rsidR="00D809AD" w:rsidRDefault="00D809AD" w:rsidP="00441E16">
      <w:pPr>
        <w:pStyle w:val="Default"/>
        <w:spacing w:line="276" w:lineRule="auto"/>
        <w:jc w:val="both"/>
        <w:rPr>
          <w:lang w:val="es-419"/>
        </w:rPr>
      </w:pPr>
    </w:p>
    <w:p w:rsidR="00D809AD" w:rsidRPr="00441E16" w:rsidRDefault="00D809AD" w:rsidP="00441E16">
      <w:pPr>
        <w:pStyle w:val="Default"/>
        <w:spacing w:line="276" w:lineRule="auto"/>
        <w:jc w:val="both"/>
        <w:rPr>
          <w:lang w:val="es-419"/>
        </w:rPr>
      </w:pPr>
    </w:p>
    <w:p w:rsidR="00BD2557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Cuando se ofrecen datos del español antiguo (ejemplos de (1)), convendría explicitar si los ejemplos se extraen de algún corpus concreto. En general, y teniendo en cuenta que se trata de un trabajo cuantitativo, se echa en falta un apartado metodológico en el que se especifiquen los corpus o fuentes utilizadas y la metodología empleada para escoger los ejemplos. En este apartado debería incluirse, de manera más extensa, la información de la nota 3 y podría detallarse, por ejemplo, por qué los textos de (1) son lingüísticamente fiables. </w:t>
      </w:r>
    </w:p>
    <w:p w:rsidR="00D809AD" w:rsidRPr="00BD2557" w:rsidRDefault="00D809AD" w:rsidP="00BD2557">
      <w:pPr>
        <w:pStyle w:val="Default"/>
        <w:spacing w:after="120" w:line="276" w:lineRule="auto"/>
        <w:jc w:val="both"/>
        <w:rPr>
          <w:lang w:val="es-ES"/>
        </w:rPr>
      </w:pPr>
      <w:r>
        <w:rPr>
          <w:color w:val="0070C0"/>
          <w:lang w:val="es-419"/>
        </w:rPr>
        <w:t>P. 4. S</w:t>
      </w:r>
      <w:r w:rsidRPr="00D809AD">
        <w:rPr>
          <w:color w:val="0070C0"/>
          <w:lang w:val="es-419"/>
        </w:rPr>
        <w:t xml:space="preserve">e ha indicado el corpus de procedencia de los ejemplos de (1), así como la información de la nota 3; se ha indicado igualmente por qué los textos de (1) son lingüísticamente fiables: </w:t>
      </w:r>
      <w:r>
        <w:rPr>
          <w:color w:val="0070C0"/>
          <w:lang w:val="es-419"/>
        </w:rPr>
        <w:t>“</w:t>
      </w:r>
      <w:r w:rsidRPr="00D809AD">
        <w:rPr>
          <w:color w:val="0070C0"/>
          <w:lang w:val="es-419"/>
        </w:rPr>
        <w:t xml:space="preserve">Además, </w:t>
      </w:r>
      <w:r w:rsidRPr="00D809AD">
        <w:rPr>
          <w:color w:val="0070C0"/>
          <w:lang w:val="es-ES"/>
        </w:rPr>
        <w:t xml:space="preserve">por lo que respecta al caso del español, el fenómeno ha tenido continuidad en todas las épocas, pues </w:t>
      </w:r>
      <w:r w:rsidRPr="00D809AD">
        <w:rPr>
          <w:i/>
          <w:color w:val="0070C0"/>
          <w:lang w:val="es-ES"/>
        </w:rPr>
        <w:t>más mejor</w:t>
      </w:r>
      <w:r w:rsidRPr="00D809AD">
        <w:rPr>
          <w:color w:val="0070C0"/>
          <w:lang w:val="es-ES"/>
        </w:rPr>
        <w:t xml:space="preserve"> y </w:t>
      </w:r>
      <w:r w:rsidRPr="00D809AD">
        <w:rPr>
          <w:i/>
          <w:color w:val="0070C0"/>
          <w:lang w:val="es-ES"/>
        </w:rPr>
        <w:t>más peor</w:t>
      </w:r>
      <w:r w:rsidRPr="00D809AD">
        <w:rPr>
          <w:color w:val="0070C0"/>
          <w:lang w:val="es-ES"/>
        </w:rPr>
        <w:t xml:space="preserve"> se registran desde antiguo (cf. García de Diego 1970: 327, Romero Cambrón 1998: 33), tal y como muestran los siguientes ejemplos procedentes de textos lingüísticamente fiables, es decir, testimonios originales, sin problemas de grafía, datación ni reconstrucción editorial (cf. Rodríguez Molina &amp; Octavio de Toledo y Huerta 2017, para el caso de los textos medievales) y albergados en el CORDE (RAE)</w:t>
      </w:r>
      <w:r>
        <w:rPr>
          <w:color w:val="0070C0"/>
          <w:lang w:val="es-ES"/>
        </w:rPr>
        <w:t>”.</w:t>
      </w:r>
    </w:p>
    <w:p w:rsidR="00D809AD" w:rsidRPr="00D809AD" w:rsidRDefault="00D809AD" w:rsidP="00D809AD">
      <w:pPr>
        <w:pStyle w:val="Default"/>
        <w:spacing w:line="276" w:lineRule="auto"/>
        <w:jc w:val="both"/>
        <w:rPr>
          <w:color w:val="0070C0"/>
          <w:lang w:val="es-ES"/>
        </w:rPr>
      </w:pPr>
      <w:r w:rsidRPr="00D809AD">
        <w:rPr>
          <w:color w:val="0070C0"/>
          <w:lang w:val="es-ES"/>
        </w:rPr>
        <w:t xml:space="preserve">P. 5. Se ha introducido un párrafo en el que se detallan aspectos de carácter metodológico relativos a la obtención de los ejemplos: “El corpus empleado en esta investigación, centrada en el español actual, es el </w:t>
      </w:r>
      <w:r w:rsidRPr="00D809AD">
        <w:rPr>
          <w:i/>
          <w:color w:val="0070C0"/>
          <w:lang w:val="es-ES"/>
        </w:rPr>
        <w:t>Corpus del español: Web/Dialectos</w:t>
      </w:r>
      <w:r w:rsidRPr="00D809AD">
        <w:rPr>
          <w:color w:val="0070C0"/>
          <w:lang w:val="es-ES"/>
        </w:rPr>
        <w:t xml:space="preserve">, </w:t>
      </w:r>
      <w:r w:rsidRPr="00D809AD">
        <w:rPr>
          <w:bCs/>
          <w:color w:val="0070C0"/>
          <w:lang w:val="es-ES"/>
        </w:rPr>
        <w:t xml:space="preserve">base de datos que </w:t>
      </w:r>
      <w:r w:rsidRPr="00D809AD">
        <w:rPr>
          <w:color w:val="0070C0"/>
          <w:lang w:val="es-ES"/>
        </w:rPr>
        <w:t xml:space="preserve">alberga más de dos mil cien millones de palabras procedentes de páginas web de los 21 países de habla hispana publicadas entre 2013 y 2014. Las búsquedas de las formas, en todos los países, se realizaron entre los meses de agosto y octubre de 2018. A este respecto, hay que matizar una serie de hechos. En primer lugar, dado que </w:t>
      </w:r>
      <w:r w:rsidRPr="00D809AD">
        <w:rPr>
          <w:i/>
          <w:color w:val="0070C0"/>
          <w:lang w:val="es-ES"/>
        </w:rPr>
        <w:t>más mayor</w:t>
      </w:r>
      <w:r w:rsidRPr="00D809AD">
        <w:rPr>
          <w:color w:val="0070C0"/>
          <w:lang w:val="es-ES"/>
        </w:rPr>
        <w:t xml:space="preserve"> es una construcción admitida ya por la academia (</w:t>
      </w:r>
      <w:r w:rsidRPr="00D809AD">
        <w:rPr>
          <w:i/>
          <w:iCs/>
          <w:color w:val="0070C0"/>
          <w:lang w:val="es-ES"/>
        </w:rPr>
        <w:t>Mi hermano Pedro es más mayor que tú</w:t>
      </w:r>
      <w:r w:rsidRPr="00D809AD">
        <w:rPr>
          <w:color w:val="0070C0"/>
          <w:lang w:val="es-ES"/>
        </w:rPr>
        <w:t>), no formó parte de las búsquedas.</w:t>
      </w:r>
      <w:r w:rsidRPr="00D809AD">
        <w:rPr>
          <w:i/>
          <w:iCs/>
          <w:color w:val="0070C0"/>
          <w:lang w:val="es-ES"/>
        </w:rPr>
        <w:t xml:space="preserve"> </w:t>
      </w:r>
      <w:r w:rsidRPr="00D809AD">
        <w:rPr>
          <w:color w:val="0070C0"/>
          <w:lang w:val="es-ES"/>
        </w:rPr>
        <w:t xml:space="preserve">Por otro lado, dejamos también fuera de este estudio los casos de </w:t>
      </w:r>
      <w:r w:rsidRPr="00D809AD">
        <w:rPr>
          <w:i/>
          <w:color w:val="0070C0"/>
          <w:lang w:val="es-ES"/>
        </w:rPr>
        <w:t>cuanto/ contra/ mientras más mejor</w:t>
      </w:r>
      <w:r w:rsidRPr="00D809AD">
        <w:rPr>
          <w:color w:val="0070C0"/>
          <w:lang w:val="es-ES"/>
        </w:rPr>
        <w:t xml:space="preserve"> y los casos de </w:t>
      </w:r>
      <w:r w:rsidRPr="00D809AD">
        <w:rPr>
          <w:i/>
          <w:color w:val="0070C0"/>
          <w:lang w:val="es-ES"/>
        </w:rPr>
        <w:t>por lo menos/ al menos, mejor que...</w:t>
      </w:r>
      <w:r w:rsidRPr="00D809AD">
        <w:rPr>
          <w:color w:val="0070C0"/>
          <w:lang w:val="es-ES"/>
        </w:rPr>
        <w:t xml:space="preserve">, es decir, las oraciones comparativas proporcionales o correlativas. Por lo que respecta a los ejemplos que presentamos, mantenemos la grafía original que figura en el corpus en todos los casos e indicamos el país de origen entre </w:t>
      </w:r>
      <w:r>
        <w:rPr>
          <w:color w:val="0070C0"/>
          <w:lang w:val="es-ES"/>
        </w:rPr>
        <w:t>paréntesis”.</w:t>
      </w:r>
    </w:p>
    <w:p w:rsidR="00D809AD" w:rsidRDefault="00D809AD" w:rsidP="00441E16">
      <w:pPr>
        <w:pStyle w:val="Default"/>
        <w:spacing w:line="276" w:lineRule="auto"/>
        <w:jc w:val="both"/>
        <w:rPr>
          <w:lang w:val="es-ES"/>
        </w:rPr>
      </w:pPr>
    </w:p>
    <w:p w:rsidR="00C6157F" w:rsidRDefault="00C6157F" w:rsidP="00441E16">
      <w:pPr>
        <w:pStyle w:val="Default"/>
        <w:spacing w:line="276" w:lineRule="auto"/>
        <w:jc w:val="both"/>
        <w:rPr>
          <w:lang w:val="es-ES"/>
        </w:rPr>
      </w:pPr>
    </w:p>
    <w:p w:rsidR="00441E16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•pp. 7-8. En las tablas 3 y 4 no se incluyen los casos de “menos menor” y “menos menores”, respectivamente. Debería decirse explícitamente por qué no se </w:t>
      </w:r>
      <w:r w:rsidRPr="00441E16">
        <w:rPr>
          <w:lang w:val="es-419"/>
        </w:rPr>
        <w:lastRenderedPageBreak/>
        <w:t>recogen (en el texto se indica que solo se registra un ejemplo para ambos casos, pero debería</w:t>
      </w:r>
      <w:r>
        <w:rPr>
          <w:lang w:val="es-419"/>
        </w:rPr>
        <w:t xml:space="preserve"> </w:t>
      </w:r>
      <w:r w:rsidRPr="00441E16">
        <w:rPr>
          <w:lang w:val="es-419"/>
        </w:rPr>
        <w:t xml:space="preserve">especificarse claramente que en las tablas no se incluyen y que el motivo es la falta de ejemplos documentados). </w:t>
      </w:r>
    </w:p>
    <w:p w:rsidR="00BD2557" w:rsidRDefault="009D56B4" w:rsidP="00BD2557">
      <w:p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9D56B4">
        <w:rPr>
          <w:rFonts w:ascii="Arial" w:hAnsi="Arial" w:cs="Arial"/>
          <w:color w:val="0070C0"/>
          <w:sz w:val="24"/>
          <w:szCs w:val="24"/>
          <w:lang w:val="es-419"/>
        </w:rPr>
        <w:t xml:space="preserve">P. 7. Se ha introducido la siguiente aclaración: </w:t>
      </w:r>
      <w:r>
        <w:rPr>
          <w:rFonts w:ascii="Arial" w:hAnsi="Arial" w:cs="Arial"/>
          <w:color w:val="0070C0"/>
          <w:sz w:val="24"/>
          <w:szCs w:val="24"/>
          <w:lang w:val="es-419"/>
        </w:rPr>
        <w:t>“</w:t>
      </w:r>
      <w:r w:rsidRPr="009D56B4">
        <w:rPr>
          <w:rFonts w:ascii="Arial" w:hAnsi="Arial" w:cs="Arial"/>
          <w:color w:val="0070C0"/>
          <w:sz w:val="24"/>
          <w:szCs w:val="24"/>
          <w:lang w:val="es-ES"/>
        </w:rPr>
        <w:t xml:space="preserve">La combinación </w:t>
      </w:r>
      <w:r w:rsidRPr="009D56B4">
        <w:rPr>
          <w:rFonts w:ascii="Arial" w:hAnsi="Arial" w:cs="Arial"/>
          <w:i/>
          <w:color w:val="0070C0"/>
          <w:sz w:val="24"/>
          <w:szCs w:val="24"/>
          <w:lang w:val="es-ES"/>
        </w:rPr>
        <w:t>menos menor</w:t>
      </w:r>
      <w:r w:rsidRPr="009D56B4">
        <w:rPr>
          <w:rFonts w:ascii="Arial" w:hAnsi="Arial" w:cs="Arial"/>
          <w:color w:val="0070C0"/>
          <w:sz w:val="24"/>
          <w:szCs w:val="24"/>
          <w:lang w:val="es-ES"/>
        </w:rPr>
        <w:t xml:space="preserve"> solo obtiene un caso en México; la falta de datos impide que figure en la tabla”.</w:t>
      </w:r>
    </w:p>
    <w:p w:rsidR="00441E16" w:rsidRDefault="009D56B4" w:rsidP="00BD2557">
      <w:pPr>
        <w:spacing w:after="0" w:line="276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9D56B4">
        <w:rPr>
          <w:rFonts w:ascii="Arial" w:hAnsi="Arial" w:cs="Arial"/>
          <w:color w:val="0070C0"/>
          <w:sz w:val="24"/>
          <w:szCs w:val="24"/>
          <w:lang w:val="es-ES"/>
        </w:rPr>
        <w:t xml:space="preserve">P. </w:t>
      </w:r>
      <w:r>
        <w:rPr>
          <w:rFonts w:ascii="Arial" w:hAnsi="Arial" w:cs="Arial"/>
          <w:color w:val="0070C0"/>
          <w:sz w:val="24"/>
          <w:szCs w:val="24"/>
          <w:lang w:val="es-ES"/>
        </w:rPr>
        <w:t xml:space="preserve">8. Se ha introducido la siguiente </w:t>
      </w:r>
      <w:r w:rsidRPr="009D56B4">
        <w:rPr>
          <w:rFonts w:ascii="Arial" w:hAnsi="Arial" w:cs="Arial"/>
          <w:color w:val="0070C0"/>
          <w:sz w:val="24"/>
          <w:szCs w:val="24"/>
          <w:lang w:val="es-ES"/>
        </w:rPr>
        <w:t xml:space="preserve">aclaración: “Para el caso de </w:t>
      </w:r>
      <w:r w:rsidRPr="009D56B4">
        <w:rPr>
          <w:rFonts w:ascii="Arial" w:hAnsi="Arial" w:cs="Arial"/>
          <w:i/>
          <w:color w:val="0070C0"/>
          <w:sz w:val="24"/>
          <w:szCs w:val="24"/>
          <w:lang w:val="es-ES"/>
        </w:rPr>
        <w:t>menos menores</w:t>
      </w:r>
      <w:r w:rsidRPr="009D56B4">
        <w:rPr>
          <w:rFonts w:ascii="Arial" w:hAnsi="Arial" w:cs="Arial"/>
          <w:color w:val="0070C0"/>
          <w:sz w:val="24"/>
          <w:szCs w:val="24"/>
          <w:lang w:val="es-ES"/>
        </w:rPr>
        <w:t xml:space="preserve"> solo se registra un ejemplo en México, por ello tampoco figura en la tabla”.</w:t>
      </w:r>
    </w:p>
    <w:p w:rsidR="009D56B4" w:rsidRDefault="009D56B4" w:rsidP="00441E16">
      <w:pPr>
        <w:pStyle w:val="Default"/>
        <w:spacing w:line="276" w:lineRule="auto"/>
        <w:jc w:val="both"/>
        <w:rPr>
          <w:lang w:val="es-419"/>
        </w:rPr>
      </w:pPr>
    </w:p>
    <w:p w:rsidR="00BD2557" w:rsidRDefault="00BD2557" w:rsidP="00441E16">
      <w:pPr>
        <w:pStyle w:val="Default"/>
        <w:spacing w:line="276" w:lineRule="auto"/>
        <w:jc w:val="both"/>
        <w:rPr>
          <w:lang w:val="es-419"/>
        </w:rPr>
      </w:pPr>
    </w:p>
    <w:p w:rsidR="00441E16" w:rsidRP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2. ANÁLISIS E INTERPRETACIÓN </w:t>
      </w:r>
    </w:p>
    <w:p w:rsidR="00441E16" w:rsidRP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•p. 13. En la primera frase del párrafo anterior al ejemplo (9) convendría revisar la afirmación “los comparativos pueden expresar grado positivo”. Entiendo que los autores quieren hacer referencia únicamente a los comparativos sintéticos que se analizan en el artículo. Si es así, deben dejarlo claro. </w:t>
      </w:r>
    </w:p>
    <w:p w:rsidR="00BD2557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Convendría revisar las últimas 4 líneas de este mismo párrafo y volver a redactarlas (no queda claro a qué se refiere la información entre paréntesis “también se documenta en español antiguo”). </w:t>
      </w:r>
    </w:p>
    <w:p w:rsidR="009D56B4" w:rsidRPr="00BD2557" w:rsidRDefault="009D56B4" w:rsidP="00BD2557">
      <w:pPr>
        <w:pStyle w:val="Default"/>
        <w:spacing w:after="120" w:line="276" w:lineRule="auto"/>
        <w:jc w:val="both"/>
        <w:rPr>
          <w:lang w:val="es-419"/>
        </w:rPr>
      </w:pPr>
      <w:r w:rsidRPr="009D56B4">
        <w:rPr>
          <w:color w:val="0070C0"/>
          <w:lang w:val="es-419"/>
        </w:rPr>
        <w:t>P. 14. Se ha modificado la redacción de la primera frase del párrafo anterior al ejemplo (9): “</w:t>
      </w:r>
      <w:r w:rsidRPr="009D56B4">
        <w:rPr>
          <w:color w:val="0070C0"/>
          <w:lang w:val="es-ES"/>
        </w:rPr>
        <w:t xml:space="preserve">La primera prueba de que los comparativos </w:t>
      </w:r>
      <w:proofErr w:type="gramStart"/>
      <w:r w:rsidRPr="009D56B4">
        <w:rPr>
          <w:color w:val="0070C0"/>
          <w:lang w:val="es-ES"/>
        </w:rPr>
        <w:t>sintéticos objeto</w:t>
      </w:r>
      <w:proofErr w:type="gramEnd"/>
      <w:r w:rsidRPr="009D56B4">
        <w:rPr>
          <w:color w:val="0070C0"/>
          <w:lang w:val="es-ES"/>
        </w:rPr>
        <w:t xml:space="preserve"> de estudio pueden expresar grado positivo”</w:t>
      </w:r>
      <w:r w:rsidRPr="009D56B4">
        <w:rPr>
          <w:color w:val="0070C0"/>
          <w:lang w:val="es-419"/>
        </w:rPr>
        <w:t>.</w:t>
      </w:r>
    </w:p>
    <w:p w:rsidR="009D56B4" w:rsidRDefault="009D56B4" w:rsidP="00441E16">
      <w:pPr>
        <w:pStyle w:val="Default"/>
        <w:spacing w:line="276" w:lineRule="auto"/>
        <w:jc w:val="both"/>
        <w:rPr>
          <w:color w:val="0070C0"/>
          <w:lang w:val="es-ES"/>
        </w:rPr>
      </w:pPr>
      <w:r w:rsidRPr="009D56B4">
        <w:rPr>
          <w:color w:val="0070C0"/>
          <w:lang w:val="es-419"/>
        </w:rPr>
        <w:t>P. 14. Se han vuelto a redactar las líneas finales del párrafo en cuestión: “</w:t>
      </w:r>
      <w:r w:rsidRPr="009D56B4">
        <w:rPr>
          <w:color w:val="0070C0"/>
          <w:lang w:val="es-ES"/>
        </w:rPr>
        <w:t xml:space="preserve">Sin embargo, como muestran los siguientes ejemplos, esta distribución en la forma del cuantificador </w:t>
      </w:r>
      <w:r w:rsidRPr="009D56B4">
        <w:rPr>
          <w:i/>
          <w:color w:val="0070C0"/>
          <w:lang w:val="es-ES"/>
        </w:rPr>
        <w:t>mucho / muy</w:t>
      </w:r>
      <w:r w:rsidRPr="009D56B4">
        <w:rPr>
          <w:color w:val="0070C0"/>
          <w:lang w:val="es-ES"/>
        </w:rPr>
        <w:t xml:space="preserve"> no es operativa en todos los hispanohablantes”</w:t>
      </w:r>
      <w:r>
        <w:rPr>
          <w:color w:val="0070C0"/>
          <w:lang w:val="es-ES"/>
        </w:rPr>
        <w:t>.</w:t>
      </w:r>
    </w:p>
    <w:p w:rsidR="005C0EE5" w:rsidRPr="009D56B4" w:rsidRDefault="005C0EE5" w:rsidP="009D56B4">
      <w:pPr>
        <w:pStyle w:val="Default"/>
        <w:spacing w:line="276" w:lineRule="auto"/>
        <w:jc w:val="both"/>
        <w:rPr>
          <w:color w:val="0070C0"/>
          <w:lang w:val="es-ES"/>
        </w:rPr>
      </w:pPr>
    </w:p>
    <w:p w:rsidR="009D56B4" w:rsidRPr="009D56B4" w:rsidRDefault="009D56B4" w:rsidP="00441E16">
      <w:pPr>
        <w:pStyle w:val="Default"/>
        <w:spacing w:line="276" w:lineRule="auto"/>
        <w:jc w:val="both"/>
        <w:rPr>
          <w:lang w:val="es-ES"/>
        </w:rPr>
      </w:pPr>
    </w:p>
    <w:p w:rsidR="00BD2557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•p. 15. Convendría revisar la redacción del último fragmento del primer párrafo de la sección 2.3 porque el mensaje no queda claro. Hay citas literales integradas en el texto y sospecho que hay errores de concordancia. Quizá sería mejor eliminar la cita literal y parafrasear su contenido para dejar clara la idea que se quiere defender (manteniendo, por supuesto, la referencia a la obra de la cual se ha extraído la información). Este mismo problema se repite en el párrafo siguiente. En general, se hace un uso excesivo de la cita literal, que a menudo dificulta la lectura y opaca el mensaje. </w:t>
      </w:r>
    </w:p>
    <w:p w:rsidR="00BD2557" w:rsidRDefault="00DC10DA" w:rsidP="00BD2557">
      <w:pPr>
        <w:pStyle w:val="Default"/>
        <w:spacing w:after="120" w:line="276" w:lineRule="auto"/>
        <w:jc w:val="both"/>
        <w:rPr>
          <w:lang w:val="es-419"/>
        </w:rPr>
      </w:pPr>
      <w:r w:rsidRPr="00DC10DA">
        <w:rPr>
          <w:color w:val="0070C0"/>
          <w:lang w:val="es-419"/>
        </w:rPr>
        <w:t>Se han eliminado varias citas literales y se han sustituido por paráfrasis de su contenido:</w:t>
      </w:r>
    </w:p>
    <w:p w:rsidR="00DC10DA" w:rsidRPr="00BD2557" w:rsidRDefault="00DC10DA" w:rsidP="00BD2557">
      <w:pPr>
        <w:pStyle w:val="Default"/>
        <w:spacing w:after="120" w:line="276" w:lineRule="auto"/>
        <w:jc w:val="both"/>
        <w:rPr>
          <w:lang w:val="es-419"/>
        </w:rPr>
      </w:pPr>
      <w:r w:rsidRPr="00DC10DA">
        <w:rPr>
          <w:color w:val="0070C0"/>
          <w:lang w:val="es-419"/>
        </w:rPr>
        <w:t>P. 16</w:t>
      </w:r>
      <w:r w:rsidR="00BD2557">
        <w:rPr>
          <w:color w:val="0070C0"/>
          <w:lang w:val="es-419"/>
        </w:rPr>
        <w:t>.</w:t>
      </w:r>
      <w:r w:rsidRPr="00DC10DA">
        <w:rPr>
          <w:color w:val="0070C0"/>
          <w:lang w:val="es-419"/>
        </w:rPr>
        <w:t xml:space="preserve"> “</w:t>
      </w:r>
      <w:r w:rsidRPr="00DC10DA">
        <w:rPr>
          <w:color w:val="0070C0"/>
          <w:lang w:val="es-ES"/>
        </w:rPr>
        <w:t>En este sentido, la RAE/ASALE (2009: 3376) menciona que en el español coloquial europeo (y pocas veces en el americano)</w:t>
      </w:r>
      <w:r w:rsidRPr="00DC10DA">
        <w:rPr>
          <w:i/>
          <w:color w:val="0070C0"/>
          <w:lang w:val="es-ES"/>
        </w:rPr>
        <w:t xml:space="preserve"> mayor</w:t>
      </w:r>
      <w:r w:rsidRPr="00DC10DA">
        <w:rPr>
          <w:color w:val="0070C0"/>
          <w:lang w:val="es-ES"/>
        </w:rPr>
        <w:t xml:space="preserve"> se emplea –siempre </w:t>
      </w:r>
      <w:r w:rsidRPr="00DC10DA">
        <w:rPr>
          <w:color w:val="0070C0"/>
          <w:lang w:val="es-ES"/>
        </w:rPr>
        <w:lastRenderedPageBreak/>
        <w:t xml:space="preserve">con referencia a la edad– como adjetivo positivo, por lo que las combinaciones </w:t>
      </w:r>
      <w:r w:rsidRPr="00DC10DA">
        <w:rPr>
          <w:i/>
          <w:color w:val="0070C0"/>
          <w:lang w:val="es-ES"/>
        </w:rPr>
        <w:t>más mayor</w:t>
      </w:r>
      <w:r w:rsidRPr="00DC10DA">
        <w:rPr>
          <w:color w:val="0070C0"/>
          <w:lang w:val="es-ES"/>
        </w:rPr>
        <w:t xml:space="preserve"> y </w:t>
      </w:r>
      <w:r w:rsidRPr="00DC10DA">
        <w:rPr>
          <w:i/>
          <w:color w:val="0070C0"/>
          <w:lang w:val="es-ES"/>
        </w:rPr>
        <w:t>muy mayor</w:t>
      </w:r>
      <w:r w:rsidRPr="00DC10DA">
        <w:rPr>
          <w:color w:val="0070C0"/>
          <w:lang w:val="es-ES"/>
        </w:rPr>
        <w:t xml:space="preserve"> no resultan incorrectas allí donde se emplean”.</w:t>
      </w:r>
    </w:p>
    <w:p w:rsidR="00BD2557" w:rsidRDefault="00BD2557" w:rsidP="00441E16">
      <w:pPr>
        <w:pStyle w:val="Default"/>
        <w:spacing w:line="276" w:lineRule="auto"/>
        <w:jc w:val="both"/>
        <w:rPr>
          <w:color w:val="0070C0"/>
          <w:lang w:val="es-ES"/>
        </w:rPr>
      </w:pPr>
    </w:p>
    <w:p w:rsidR="00BD2557" w:rsidRDefault="00DC10DA" w:rsidP="00BD2557">
      <w:pPr>
        <w:pStyle w:val="Default"/>
        <w:spacing w:after="120" w:line="276" w:lineRule="auto"/>
        <w:jc w:val="both"/>
        <w:rPr>
          <w:color w:val="0070C0"/>
          <w:lang w:val="es-ES"/>
        </w:rPr>
      </w:pPr>
      <w:r w:rsidRPr="00DC10DA">
        <w:rPr>
          <w:color w:val="0070C0"/>
          <w:lang w:val="es-ES"/>
        </w:rPr>
        <w:t>Pp. 16-17</w:t>
      </w:r>
      <w:r w:rsidR="00BD2557">
        <w:rPr>
          <w:color w:val="0070C0"/>
          <w:lang w:val="es-ES"/>
        </w:rPr>
        <w:t>.</w:t>
      </w:r>
      <w:r w:rsidRPr="00DC10DA">
        <w:rPr>
          <w:color w:val="0070C0"/>
          <w:lang w:val="es-ES"/>
        </w:rPr>
        <w:t xml:space="preserve"> “Esta autora considera que la construcción </w:t>
      </w:r>
      <w:r w:rsidRPr="00DC10DA">
        <w:rPr>
          <w:i/>
          <w:color w:val="0070C0"/>
          <w:lang w:val="es-ES"/>
        </w:rPr>
        <w:t>más mayor</w:t>
      </w:r>
      <w:r w:rsidRPr="00DC10DA">
        <w:rPr>
          <w:color w:val="0070C0"/>
          <w:lang w:val="es-ES"/>
        </w:rPr>
        <w:t xml:space="preserve"> es el resultado de la lexicalización de </w:t>
      </w:r>
      <w:r w:rsidRPr="00DC10DA">
        <w:rPr>
          <w:i/>
          <w:color w:val="0070C0"/>
          <w:lang w:val="es-ES"/>
        </w:rPr>
        <w:t>mayor</w:t>
      </w:r>
      <w:r w:rsidRPr="00DC10DA">
        <w:rPr>
          <w:color w:val="0070C0"/>
          <w:lang w:val="es-ES"/>
        </w:rPr>
        <w:t xml:space="preserve"> como adjetivo positivo cuando este adjetivo posee significado temporal, empleo generalizado en España y conocido en Hispanoamérica (Vigara Tauste 2010: 125)”.</w:t>
      </w:r>
    </w:p>
    <w:p w:rsidR="009D56B4" w:rsidRPr="00DC10DA" w:rsidRDefault="00DC10DA" w:rsidP="00441E16">
      <w:pPr>
        <w:pStyle w:val="Default"/>
        <w:spacing w:line="276" w:lineRule="auto"/>
        <w:jc w:val="both"/>
        <w:rPr>
          <w:color w:val="0070C0"/>
          <w:lang w:val="es-ES"/>
        </w:rPr>
      </w:pPr>
      <w:r w:rsidRPr="00DC10DA">
        <w:rPr>
          <w:color w:val="0070C0"/>
          <w:lang w:val="es-ES"/>
        </w:rPr>
        <w:t>P. 17</w:t>
      </w:r>
      <w:r w:rsidR="00BD2557">
        <w:rPr>
          <w:color w:val="0070C0"/>
          <w:lang w:val="es-ES"/>
        </w:rPr>
        <w:t>.</w:t>
      </w:r>
      <w:r w:rsidRPr="00DC10DA">
        <w:rPr>
          <w:color w:val="0070C0"/>
          <w:lang w:val="es-ES"/>
        </w:rPr>
        <w:t xml:space="preserve"> “Así pues, el empleo de </w:t>
      </w:r>
      <w:r w:rsidRPr="00DC10DA">
        <w:rPr>
          <w:i/>
          <w:color w:val="0070C0"/>
          <w:lang w:val="es-ES"/>
        </w:rPr>
        <w:t>mayor</w:t>
      </w:r>
      <w:r w:rsidRPr="00DC10DA">
        <w:rPr>
          <w:color w:val="0070C0"/>
          <w:lang w:val="es-ES"/>
        </w:rPr>
        <w:t xml:space="preserve"> como adjetivo positivo de significado temporal sería una característica exclusiva del español, en concreto, del español de España, pues, aunque se conoce y se emplea con ese sentido temporal también en Hispanoamérica, es </w:t>
      </w:r>
      <w:r w:rsidRPr="00DC10DA">
        <w:rPr>
          <w:i/>
          <w:color w:val="0070C0"/>
          <w:lang w:val="es-ES"/>
        </w:rPr>
        <w:t>grande</w:t>
      </w:r>
      <w:r w:rsidRPr="00DC10DA">
        <w:rPr>
          <w:color w:val="0070C0"/>
          <w:lang w:val="es-ES"/>
        </w:rPr>
        <w:t xml:space="preserve"> el adjetivo que se usa para referirse a la edad y el paso del tiempo en Hispanoamérica, especialmente en Argentina y en Uruguay (Vigara Tauste 2011: 119)”.</w:t>
      </w:r>
    </w:p>
    <w:p w:rsidR="00441E16" w:rsidRDefault="00441E16" w:rsidP="00441E16">
      <w:pPr>
        <w:pStyle w:val="Default"/>
        <w:spacing w:line="276" w:lineRule="auto"/>
        <w:jc w:val="both"/>
        <w:rPr>
          <w:lang w:val="es-ES"/>
        </w:rPr>
      </w:pPr>
    </w:p>
    <w:p w:rsidR="001F59FC" w:rsidRPr="00DC10DA" w:rsidRDefault="001F59FC" w:rsidP="00441E16">
      <w:pPr>
        <w:pStyle w:val="Default"/>
        <w:spacing w:line="276" w:lineRule="auto"/>
        <w:jc w:val="both"/>
        <w:rPr>
          <w:lang w:val="es-ES"/>
        </w:rPr>
      </w:pPr>
    </w:p>
    <w:p w:rsidR="001F59FC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•p. 20. Tras el ejemplo (16), se afirma que «ejemplos como los de (16c) y (16d) son minoritarios, frente a los numerosos casos en que más mejor/ mejores parece emplearse de forma natural con el significado de ‘más bueno(s)’ o ‘más bien’». Sin embargo, en (16c) “más mejor” parece tener el significado de “más bien”. </w:t>
      </w:r>
    </w:p>
    <w:p w:rsidR="001F59FC" w:rsidRPr="001F59FC" w:rsidRDefault="001F59FC" w:rsidP="00441E16">
      <w:pPr>
        <w:pStyle w:val="Default"/>
        <w:spacing w:line="276" w:lineRule="auto"/>
        <w:jc w:val="both"/>
        <w:rPr>
          <w:color w:val="0070C0"/>
          <w:lang w:val="es-419"/>
        </w:rPr>
      </w:pPr>
      <w:r w:rsidRPr="001F59FC">
        <w:rPr>
          <w:color w:val="0070C0"/>
          <w:lang w:val="es-419"/>
        </w:rPr>
        <w:t>P. 21</w:t>
      </w:r>
      <w:r>
        <w:rPr>
          <w:color w:val="0070C0"/>
          <w:lang w:val="es-419"/>
        </w:rPr>
        <w:t>.</w:t>
      </w:r>
      <w:r w:rsidRPr="001F59FC">
        <w:rPr>
          <w:color w:val="0070C0"/>
          <w:lang w:val="es-419"/>
        </w:rPr>
        <w:t xml:space="preserve"> Se ha sustituido “ejemplos como los de (16c) y (16d) son minoritarios” por “ejemplos como el de (16d) son minoritarios”.</w:t>
      </w:r>
    </w:p>
    <w:p w:rsidR="00441E16" w:rsidRDefault="00441E16" w:rsidP="00441E16">
      <w:pPr>
        <w:pStyle w:val="Default"/>
        <w:spacing w:line="276" w:lineRule="auto"/>
        <w:jc w:val="both"/>
        <w:rPr>
          <w:color w:val="0070C0"/>
          <w:lang w:val="es-419"/>
        </w:rPr>
      </w:pPr>
    </w:p>
    <w:p w:rsidR="001F59FC" w:rsidRPr="001F59FC" w:rsidRDefault="001F59FC" w:rsidP="00441E16">
      <w:pPr>
        <w:pStyle w:val="Default"/>
        <w:spacing w:line="276" w:lineRule="auto"/>
        <w:jc w:val="both"/>
        <w:rPr>
          <w:color w:val="0070C0"/>
          <w:lang w:val="es-419"/>
        </w:rPr>
      </w:pPr>
    </w:p>
    <w:p w:rsidR="00441E16" w:rsidRP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CONCLUSIONES </w:t>
      </w:r>
    </w:p>
    <w:p w:rsidR="001F59FC" w:rsidRPr="001F59FC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•p. 21. En el penúltimo párrafo de la página, se indica que estas combinaciones aparecen en “construcciones de superlativo relativo (con o sin coda y con núcleo nominal explícito o sin él: la más mejor del mundo)”. Puesto que se indica que pueden aparecer con o sin coda y con núcleo nominal explícito o sin él, no se entiende que únicamente se ofrezca un ejemplo: el lector puede no saber a cuál de las cuatro opciones posibles alude el ejemplo. </w:t>
      </w:r>
    </w:p>
    <w:p w:rsidR="001F59FC" w:rsidRPr="001F59FC" w:rsidRDefault="001F59FC" w:rsidP="00441E16">
      <w:pPr>
        <w:pStyle w:val="Default"/>
        <w:spacing w:line="276" w:lineRule="auto"/>
        <w:jc w:val="both"/>
        <w:rPr>
          <w:color w:val="0070C0"/>
          <w:lang w:val="es-419"/>
        </w:rPr>
      </w:pPr>
      <w:r w:rsidRPr="001F59FC">
        <w:rPr>
          <w:color w:val="0070C0"/>
          <w:lang w:val="es-419"/>
        </w:rPr>
        <w:t>P. 22. Se han dado ejemplos de todos los casos mencionados: “</w:t>
      </w:r>
      <w:r w:rsidRPr="001F59FC">
        <w:rPr>
          <w:iCs/>
          <w:color w:val="0070C0"/>
          <w:lang w:val="es-ES"/>
        </w:rPr>
        <w:t xml:space="preserve">i) en </w:t>
      </w:r>
      <w:r w:rsidRPr="001F59FC">
        <w:rPr>
          <w:color w:val="0070C0"/>
          <w:lang w:val="es-ES"/>
        </w:rPr>
        <w:t>construcciones de superlativo relativo sin coda (</w:t>
      </w:r>
      <w:r w:rsidRPr="001F59FC">
        <w:rPr>
          <w:i/>
          <w:color w:val="0070C0"/>
          <w:lang w:val="es-ES"/>
        </w:rPr>
        <w:t>la más mejor</w:t>
      </w:r>
      <w:r w:rsidRPr="001F59FC">
        <w:rPr>
          <w:color w:val="0070C0"/>
          <w:lang w:val="es-ES"/>
        </w:rPr>
        <w:t>), con coda (</w:t>
      </w:r>
      <w:r w:rsidRPr="001F59FC">
        <w:rPr>
          <w:i/>
          <w:color w:val="0070C0"/>
          <w:lang w:val="es-ES"/>
        </w:rPr>
        <w:t>la más mejor de todas</w:t>
      </w:r>
      <w:r w:rsidRPr="001F59FC">
        <w:rPr>
          <w:color w:val="0070C0"/>
          <w:lang w:val="es-ES"/>
        </w:rPr>
        <w:t>) y con núcleo nominal explícito (</w:t>
      </w:r>
      <w:r w:rsidRPr="001F59FC">
        <w:rPr>
          <w:i/>
          <w:color w:val="0070C0"/>
          <w:lang w:val="es-ES"/>
        </w:rPr>
        <w:t>la mujer más mejor del mundo</w:t>
      </w:r>
      <w:r w:rsidRPr="001F59FC">
        <w:rPr>
          <w:color w:val="0070C0"/>
          <w:lang w:val="es-ES"/>
        </w:rPr>
        <w:t>) o sin él (</w:t>
      </w:r>
      <w:r w:rsidRPr="001F59FC">
        <w:rPr>
          <w:i/>
          <w:color w:val="0070C0"/>
          <w:lang w:val="es-ES"/>
        </w:rPr>
        <w:t>la más mejor del mundo</w:t>
      </w:r>
      <w:r w:rsidRPr="001F59FC">
        <w:rPr>
          <w:color w:val="0070C0"/>
          <w:lang w:val="es-ES"/>
        </w:rPr>
        <w:t>)”.</w:t>
      </w: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</w:p>
    <w:p w:rsidR="001F59FC" w:rsidRDefault="001F59FC" w:rsidP="00441E16">
      <w:pPr>
        <w:pStyle w:val="Default"/>
        <w:spacing w:line="276" w:lineRule="auto"/>
        <w:jc w:val="both"/>
        <w:rPr>
          <w:lang w:val="es-419"/>
        </w:rPr>
      </w:pPr>
    </w:p>
    <w:p w:rsidR="001F59FC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•p. 22. En el primer párrafo, se afirma que “en cuanto a las formas mejor y peor, la primera se estaría lexicalizando con el significado de ‘más bueno/ bien’ (los más mejores ladrones; mis más mejores amigos)”. Parece que en los dos ejemplos </w:t>
      </w:r>
      <w:r w:rsidRPr="00441E16">
        <w:rPr>
          <w:lang w:val="es-419"/>
        </w:rPr>
        <w:lastRenderedPageBreak/>
        <w:t xml:space="preserve">ofrecidos entre paréntesis más mejores significa ‘más buenos’. Quizá debería cambiarse el segundo ejemplo por uno en el que mejor tenga el valor adverbial de ‘bien’. </w:t>
      </w:r>
    </w:p>
    <w:p w:rsidR="001F59FC" w:rsidRPr="001F59FC" w:rsidRDefault="001F59FC" w:rsidP="00441E16">
      <w:pPr>
        <w:pStyle w:val="Default"/>
        <w:spacing w:line="276" w:lineRule="auto"/>
        <w:jc w:val="both"/>
        <w:rPr>
          <w:color w:val="0070C0"/>
          <w:lang w:val="es-419"/>
        </w:rPr>
      </w:pPr>
      <w:r w:rsidRPr="001F59FC">
        <w:rPr>
          <w:color w:val="0070C0"/>
          <w:lang w:val="es-419"/>
        </w:rPr>
        <w:t>P. 23. Se ha sustituido el segundo ejemplo por otro en el que mejor tiene valor adverbial: “</w:t>
      </w:r>
      <w:r w:rsidRPr="001F59FC">
        <w:rPr>
          <w:color w:val="0070C0"/>
          <w:lang w:val="es-ES"/>
        </w:rPr>
        <w:t>(</w:t>
      </w:r>
      <w:r w:rsidRPr="001F59FC">
        <w:rPr>
          <w:i/>
          <w:color w:val="0070C0"/>
          <w:lang w:val="es-ES"/>
        </w:rPr>
        <w:t>los más mejores ladrones</w:t>
      </w:r>
      <w:r w:rsidRPr="001F59FC">
        <w:rPr>
          <w:color w:val="0070C0"/>
          <w:lang w:val="es-ES"/>
        </w:rPr>
        <w:t xml:space="preserve">; </w:t>
      </w:r>
      <w:r w:rsidRPr="001F59FC">
        <w:rPr>
          <w:i/>
          <w:color w:val="0070C0"/>
          <w:lang w:val="es-ES"/>
        </w:rPr>
        <w:t>ya está más mejor de su enfermedad</w:t>
      </w:r>
      <w:r w:rsidRPr="001F59FC">
        <w:rPr>
          <w:color w:val="0070C0"/>
          <w:lang w:val="es-ES"/>
        </w:rPr>
        <w:t>)”.</w:t>
      </w:r>
    </w:p>
    <w:p w:rsidR="001F59FC" w:rsidRDefault="001F59FC" w:rsidP="00441E16">
      <w:pPr>
        <w:pStyle w:val="Default"/>
        <w:spacing w:line="276" w:lineRule="auto"/>
        <w:jc w:val="both"/>
        <w:rPr>
          <w:lang w:val="es-419"/>
        </w:rPr>
      </w:pPr>
    </w:p>
    <w:p w:rsidR="001F59FC" w:rsidRDefault="001F59FC" w:rsidP="00441E16">
      <w:pPr>
        <w:pStyle w:val="Default"/>
        <w:spacing w:line="276" w:lineRule="auto"/>
        <w:jc w:val="both"/>
        <w:rPr>
          <w:lang w:val="es-419"/>
        </w:rPr>
      </w:pPr>
    </w:p>
    <w:p w:rsidR="001F59FC" w:rsidRDefault="00441E16" w:rsidP="001F59FC">
      <w:pPr>
        <w:pStyle w:val="Default"/>
        <w:spacing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Deberían incluirse traducciones al español de los ejemplos de (18). En el párrafo que precede a estos ejemplos, también sería conveniente incluir la traducción al español de las expresiones de las demás lenguas romances. </w:t>
      </w:r>
    </w:p>
    <w:p w:rsidR="001F59FC" w:rsidRDefault="00441E16" w:rsidP="00BD2557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441E16">
        <w:rPr>
          <w:rFonts w:ascii="Arial" w:hAnsi="Arial" w:cs="Arial"/>
          <w:sz w:val="24"/>
          <w:szCs w:val="24"/>
          <w:lang w:val="es-419"/>
        </w:rPr>
        <w:t xml:space="preserve">El ejemplo catalán de (18b) contiene erratas. Quizá los autores mantienen los errores del texto original. Lo correcto sería: “Ah, perdona, no </w:t>
      </w:r>
      <w:proofErr w:type="spellStart"/>
      <w:r w:rsidRPr="00441E16">
        <w:rPr>
          <w:rFonts w:ascii="Arial" w:hAnsi="Arial" w:cs="Arial"/>
          <w:sz w:val="24"/>
          <w:szCs w:val="24"/>
          <w:lang w:val="es-419"/>
        </w:rPr>
        <w:t>t’he</w:t>
      </w:r>
      <w:proofErr w:type="spellEnd"/>
      <w:r w:rsidRPr="00441E16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441E16">
        <w:rPr>
          <w:rFonts w:ascii="Arial" w:hAnsi="Arial" w:cs="Arial"/>
          <w:sz w:val="24"/>
          <w:szCs w:val="24"/>
          <w:lang w:val="es-419"/>
        </w:rPr>
        <w:t>entès</w:t>
      </w:r>
      <w:proofErr w:type="spellEnd"/>
      <w:r w:rsidRPr="00441E16">
        <w:rPr>
          <w:rFonts w:ascii="Arial" w:hAnsi="Arial" w:cs="Arial"/>
          <w:sz w:val="24"/>
          <w:szCs w:val="24"/>
          <w:lang w:val="es-419"/>
        </w:rPr>
        <w:t xml:space="preserve">. </w:t>
      </w:r>
      <w:proofErr w:type="spellStart"/>
      <w:r w:rsidRPr="00441E16">
        <w:rPr>
          <w:rFonts w:ascii="Arial" w:hAnsi="Arial" w:cs="Arial"/>
          <w:sz w:val="24"/>
          <w:szCs w:val="24"/>
          <w:lang w:val="es-419"/>
        </w:rPr>
        <w:t>Pel</w:t>
      </w:r>
      <w:proofErr w:type="spellEnd"/>
      <w:r w:rsidRPr="00441E16">
        <w:rPr>
          <w:rFonts w:ascii="Arial" w:hAnsi="Arial" w:cs="Arial"/>
          <w:sz w:val="24"/>
          <w:szCs w:val="24"/>
          <w:lang w:val="es-419"/>
        </w:rPr>
        <w:t xml:space="preserve"> que fa al Barça, </w:t>
      </w:r>
      <w:proofErr w:type="spellStart"/>
      <w:r w:rsidRPr="00441E16">
        <w:rPr>
          <w:rFonts w:ascii="Arial" w:hAnsi="Arial" w:cs="Arial"/>
          <w:sz w:val="24"/>
          <w:szCs w:val="24"/>
          <w:lang w:val="es-419"/>
        </w:rPr>
        <w:t>sense</w:t>
      </w:r>
      <w:proofErr w:type="spellEnd"/>
      <w:r w:rsidRPr="00441E16">
        <w:rPr>
          <w:rFonts w:ascii="Arial" w:hAnsi="Arial" w:cs="Arial"/>
          <w:sz w:val="24"/>
          <w:szCs w:val="24"/>
          <w:lang w:val="es-419"/>
        </w:rPr>
        <w:t xml:space="preserve"> dubte, Schuster més millor que Maradona”.</w:t>
      </w:r>
    </w:p>
    <w:p w:rsidR="001F59FC" w:rsidRPr="001F59FC" w:rsidRDefault="001F59FC" w:rsidP="001F59FC">
      <w:pPr>
        <w:spacing w:after="0" w:line="276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1F59FC">
        <w:rPr>
          <w:rFonts w:ascii="Arial" w:hAnsi="Arial" w:cs="Arial"/>
          <w:color w:val="0070C0"/>
          <w:sz w:val="24"/>
          <w:szCs w:val="24"/>
          <w:lang w:val="es-419"/>
        </w:rPr>
        <w:t>Pp. 23-24. Se han incluido traducciones al español de los ejemplos en otras lenguas. Se ha indicado que se mantiene el texto original: “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>tal y como sucede en inglés (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>more better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 ‘más mejor’ y 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>less worse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 ‘menos peor’). Se trata de un fenómeno que se documenta también en otras lenguas romances. Así, en portugués tenemos 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mais melhor 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>(‘más mejor’)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 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>y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 menos pior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 (‘menos peor’) (18a); en catalán 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>més millor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 (‘más mejor’) y 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>menys pitjor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 (‘menos peor’) (18b); en francés 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plus meilleur 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(‘plus bon’, ‘más mejor’), 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plus mieux 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>(‘plus bien’, ‘más mejor’),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 moins pire 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(‘moins mauvais’ ‘menos peor’) y 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>moins pis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 (‘moins mal’, ‘menos peor’)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 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(18c); finalmente, en italiano 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>più migliore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 (‘más mejor’) y 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>meno peggio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 (‘menos peor’) (18d), tal y como muestran los siguientes ejemplos obtenidos en la red social Twitter, por lo que mantenemos la grafía original</w:t>
      </w:r>
      <w:r w:rsidR="005D0887">
        <w:rPr>
          <w:rFonts w:ascii="Arial" w:hAnsi="Arial" w:cs="Arial"/>
          <w:i/>
          <w:color w:val="0070C0"/>
          <w:sz w:val="24"/>
          <w:szCs w:val="24"/>
          <w:lang w:val="es-ES"/>
        </w:rPr>
        <w:t>”.</w:t>
      </w:r>
    </w:p>
    <w:p w:rsidR="001F59FC" w:rsidRPr="001F59FC" w:rsidRDefault="001F59FC" w:rsidP="001F59FC">
      <w:pPr>
        <w:spacing w:after="0" w:line="360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</w:p>
    <w:p w:rsidR="001F59FC" w:rsidRPr="001F59FC" w:rsidRDefault="001F59FC" w:rsidP="001F59FC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pt-BR"/>
        </w:rPr>
      </w:pPr>
      <w:r w:rsidRPr="001F59FC">
        <w:rPr>
          <w:rFonts w:ascii="Arial" w:hAnsi="Arial" w:cs="Arial"/>
          <w:color w:val="0070C0"/>
          <w:sz w:val="24"/>
          <w:szCs w:val="24"/>
          <w:lang w:val="pt-BR"/>
        </w:rPr>
        <w:t>(18)</w:t>
      </w:r>
      <w:r w:rsidRPr="001F59FC">
        <w:rPr>
          <w:rFonts w:ascii="Arial" w:hAnsi="Arial" w:cs="Arial"/>
          <w:color w:val="0070C0"/>
          <w:sz w:val="24"/>
          <w:szCs w:val="24"/>
          <w:lang w:val="pt-BR"/>
        </w:rPr>
        <w:tab/>
        <w:t xml:space="preserve">a. eu só queria ser </w:t>
      </w:r>
      <w:r w:rsidRPr="001F59FC">
        <w:rPr>
          <w:rFonts w:ascii="Arial" w:hAnsi="Arial" w:cs="Arial"/>
          <w:b/>
          <w:color w:val="0070C0"/>
          <w:sz w:val="24"/>
          <w:szCs w:val="24"/>
          <w:lang w:val="pt-BR"/>
        </w:rPr>
        <w:t xml:space="preserve">mais melhor </w:t>
      </w:r>
      <w:r w:rsidRPr="001F59FC">
        <w:rPr>
          <w:rFonts w:ascii="Arial" w:hAnsi="Arial" w:cs="Arial"/>
          <w:color w:val="0070C0"/>
          <w:sz w:val="24"/>
          <w:szCs w:val="24"/>
          <w:lang w:val="pt-BR"/>
        </w:rPr>
        <w:t>nesse jogo.</w:t>
      </w:r>
    </w:p>
    <w:p w:rsidR="001F59FC" w:rsidRPr="001F59FC" w:rsidRDefault="001F59FC" w:rsidP="001F59FC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lang w:val="pt-BR"/>
        </w:rPr>
      </w:pPr>
      <w:r w:rsidRPr="001F59FC">
        <w:rPr>
          <w:rFonts w:ascii="Arial" w:hAnsi="Arial" w:cs="Arial"/>
          <w:color w:val="0070C0"/>
          <w:sz w:val="24"/>
          <w:szCs w:val="24"/>
          <w:lang w:val="pt-BR"/>
        </w:rPr>
        <w:tab/>
        <w:t>(</w:t>
      </w:r>
      <w:r w:rsidRPr="001F59FC">
        <w:rPr>
          <w:rFonts w:ascii="Arial" w:hAnsi="Arial" w:cs="Arial"/>
          <w:i/>
          <w:color w:val="0070C0"/>
          <w:sz w:val="24"/>
          <w:szCs w:val="24"/>
          <w:lang w:val="pt-BR"/>
        </w:rPr>
        <w:t>Yo solo quería ser más mejor en este juego</w:t>
      </w:r>
      <w:r w:rsidRPr="001F59FC">
        <w:rPr>
          <w:rFonts w:ascii="Arial" w:hAnsi="Arial" w:cs="Arial"/>
          <w:color w:val="0070C0"/>
          <w:sz w:val="24"/>
          <w:szCs w:val="24"/>
          <w:lang w:val="pt-BR"/>
        </w:rPr>
        <w:t>).</w:t>
      </w:r>
    </w:p>
    <w:p w:rsidR="001F59FC" w:rsidRPr="001F59FC" w:rsidRDefault="001F59FC" w:rsidP="001F59FC">
      <w:pPr>
        <w:spacing w:after="0" w:line="240" w:lineRule="auto"/>
        <w:ind w:left="708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b. Ah, perdona, no t'entés En el que al Barça es refereix, sens dubte, Schuster </w:t>
      </w:r>
      <w:r w:rsidRPr="001F59FC">
        <w:rPr>
          <w:rFonts w:ascii="Arial" w:hAnsi="Arial" w:cs="Arial"/>
          <w:b/>
          <w:color w:val="0070C0"/>
          <w:sz w:val="24"/>
          <w:szCs w:val="24"/>
          <w:lang w:val="es-ES"/>
        </w:rPr>
        <w:t>més millor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 xml:space="preserve"> que Maradona.</w:t>
      </w:r>
    </w:p>
    <w:p w:rsidR="001F59FC" w:rsidRPr="001F59FC" w:rsidRDefault="001F59FC" w:rsidP="001F59FC">
      <w:pPr>
        <w:spacing w:after="0" w:line="240" w:lineRule="auto"/>
        <w:ind w:left="708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1F59FC">
        <w:rPr>
          <w:rFonts w:ascii="Arial" w:hAnsi="Arial" w:cs="Arial"/>
          <w:color w:val="0070C0"/>
          <w:sz w:val="24"/>
          <w:szCs w:val="24"/>
          <w:lang w:val="es-ES"/>
        </w:rPr>
        <w:t>(</w:t>
      </w:r>
      <w:r w:rsidRPr="001F59FC">
        <w:rPr>
          <w:rFonts w:ascii="Arial" w:hAnsi="Arial" w:cs="Arial"/>
          <w:i/>
          <w:color w:val="0070C0"/>
          <w:sz w:val="24"/>
          <w:szCs w:val="24"/>
          <w:lang w:val="es-ES"/>
        </w:rPr>
        <w:t>Ah, perdona, no te entiendo. En lo que al Barça se refiere, sin duda, Schuster más mejor que Maradona</w:t>
      </w:r>
      <w:r w:rsidRPr="001F59FC">
        <w:rPr>
          <w:rFonts w:ascii="Arial" w:hAnsi="Arial" w:cs="Arial"/>
          <w:color w:val="0070C0"/>
          <w:sz w:val="24"/>
          <w:szCs w:val="24"/>
          <w:lang w:val="es-ES"/>
        </w:rPr>
        <w:t>).</w:t>
      </w:r>
    </w:p>
    <w:p w:rsidR="001F59FC" w:rsidRPr="001F59FC" w:rsidRDefault="001F59FC" w:rsidP="001F59FC">
      <w:pPr>
        <w:spacing w:after="0" w:line="240" w:lineRule="auto"/>
        <w:ind w:left="708"/>
        <w:jc w:val="both"/>
        <w:rPr>
          <w:rFonts w:ascii="Arial" w:hAnsi="Arial" w:cs="Arial"/>
          <w:color w:val="0070C0"/>
          <w:sz w:val="24"/>
          <w:szCs w:val="24"/>
        </w:rPr>
      </w:pPr>
      <w:r w:rsidRPr="001F59FC">
        <w:rPr>
          <w:rFonts w:ascii="Arial" w:hAnsi="Arial" w:cs="Arial"/>
          <w:color w:val="0070C0"/>
          <w:sz w:val="24"/>
          <w:szCs w:val="24"/>
        </w:rPr>
        <w:t xml:space="preserve">c. Selon moi l’éducation francophone est </w:t>
      </w:r>
      <w:r w:rsidRPr="001F59FC">
        <w:rPr>
          <w:rFonts w:ascii="Arial" w:hAnsi="Arial" w:cs="Arial"/>
          <w:b/>
          <w:color w:val="0070C0"/>
          <w:sz w:val="24"/>
          <w:szCs w:val="24"/>
        </w:rPr>
        <w:t>plus mieux</w:t>
      </w:r>
      <w:r w:rsidRPr="001F59FC">
        <w:rPr>
          <w:rFonts w:ascii="Arial" w:hAnsi="Arial" w:cs="Arial"/>
          <w:color w:val="0070C0"/>
          <w:sz w:val="24"/>
          <w:szCs w:val="24"/>
        </w:rPr>
        <w:t xml:space="preserve"> que l’éducation anglophone.</w:t>
      </w:r>
    </w:p>
    <w:p w:rsidR="001F59FC" w:rsidRPr="001F59FC" w:rsidRDefault="001F59FC" w:rsidP="001F59FC">
      <w:pPr>
        <w:spacing w:after="0" w:line="240" w:lineRule="auto"/>
        <w:ind w:left="708"/>
        <w:jc w:val="both"/>
        <w:rPr>
          <w:rFonts w:ascii="Arial" w:hAnsi="Arial" w:cs="Arial"/>
          <w:color w:val="0070C0"/>
          <w:sz w:val="24"/>
          <w:szCs w:val="24"/>
          <w:lang w:val="es-419"/>
        </w:rPr>
      </w:pPr>
      <w:r w:rsidRPr="001F59FC">
        <w:rPr>
          <w:rFonts w:ascii="Arial" w:hAnsi="Arial" w:cs="Arial"/>
          <w:color w:val="0070C0"/>
          <w:sz w:val="24"/>
          <w:szCs w:val="24"/>
          <w:lang w:val="es-419"/>
        </w:rPr>
        <w:t>(</w:t>
      </w:r>
      <w:r w:rsidRPr="001F59FC">
        <w:rPr>
          <w:rFonts w:ascii="Arial" w:hAnsi="Arial" w:cs="Arial"/>
          <w:i/>
          <w:color w:val="0070C0"/>
          <w:sz w:val="24"/>
          <w:szCs w:val="24"/>
          <w:lang w:val="es-419"/>
        </w:rPr>
        <w:t>En mi opinión, la educación francófona es más mejor que la educación anglófona</w:t>
      </w:r>
      <w:r w:rsidRPr="001F59FC">
        <w:rPr>
          <w:rFonts w:ascii="Arial" w:hAnsi="Arial" w:cs="Arial"/>
          <w:color w:val="0070C0"/>
          <w:sz w:val="24"/>
          <w:szCs w:val="24"/>
          <w:lang w:val="es-419"/>
        </w:rPr>
        <w:t>).</w:t>
      </w:r>
    </w:p>
    <w:p w:rsidR="001F59FC" w:rsidRPr="001F59FC" w:rsidRDefault="001F59FC" w:rsidP="001F59FC">
      <w:pPr>
        <w:spacing w:after="0" w:line="240" w:lineRule="auto"/>
        <w:ind w:firstLine="708"/>
        <w:rPr>
          <w:rFonts w:ascii="Arial" w:hAnsi="Arial" w:cs="Arial"/>
          <w:color w:val="0070C0"/>
          <w:sz w:val="24"/>
          <w:szCs w:val="24"/>
          <w:lang w:val="it-IT"/>
        </w:rPr>
      </w:pPr>
      <w:r w:rsidRPr="001F59FC">
        <w:rPr>
          <w:rFonts w:ascii="Arial" w:hAnsi="Arial" w:cs="Arial"/>
          <w:color w:val="0070C0"/>
          <w:sz w:val="24"/>
          <w:szCs w:val="24"/>
          <w:lang w:val="it-IT"/>
        </w:rPr>
        <w:t xml:space="preserve">d. Sei la </w:t>
      </w:r>
      <w:r w:rsidRPr="001F59FC">
        <w:rPr>
          <w:rFonts w:ascii="Arial" w:hAnsi="Arial" w:cs="Arial"/>
          <w:b/>
          <w:color w:val="0070C0"/>
          <w:sz w:val="24"/>
          <w:szCs w:val="24"/>
          <w:lang w:val="it-IT"/>
        </w:rPr>
        <w:t>più migliore</w:t>
      </w:r>
      <w:r w:rsidRPr="001F59FC">
        <w:rPr>
          <w:rFonts w:ascii="Arial" w:hAnsi="Arial" w:cs="Arial"/>
          <w:color w:val="0070C0"/>
          <w:sz w:val="24"/>
          <w:szCs w:val="24"/>
          <w:lang w:val="it-IT"/>
        </w:rPr>
        <w:t>.</w:t>
      </w:r>
    </w:p>
    <w:p w:rsidR="001F59FC" w:rsidRPr="001F59FC" w:rsidRDefault="001F59FC" w:rsidP="001F59FC">
      <w:pPr>
        <w:spacing w:after="0" w:line="240" w:lineRule="auto"/>
        <w:ind w:firstLine="708"/>
        <w:rPr>
          <w:rFonts w:ascii="Arial" w:hAnsi="Arial" w:cs="Arial"/>
          <w:color w:val="0070C0"/>
          <w:sz w:val="24"/>
          <w:szCs w:val="24"/>
          <w:lang w:val="it-IT"/>
        </w:rPr>
      </w:pPr>
      <w:r w:rsidRPr="001F59FC">
        <w:rPr>
          <w:rFonts w:ascii="Arial" w:hAnsi="Arial" w:cs="Arial"/>
          <w:color w:val="0070C0"/>
          <w:sz w:val="24"/>
          <w:szCs w:val="24"/>
          <w:lang w:val="it-IT"/>
        </w:rPr>
        <w:t>(</w:t>
      </w:r>
      <w:r w:rsidRPr="001F59FC">
        <w:rPr>
          <w:rFonts w:ascii="Arial" w:hAnsi="Arial" w:cs="Arial"/>
          <w:i/>
          <w:color w:val="0070C0"/>
          <w:sz w:val="24"/>
          <w:szCs w:val="24"/>
          <w:lang w:val="it-IT"/>
        </w:rPr>
        <w:t>Eres la más mejor</w:t>
      </w:r>
      <w:r w:rsidRPr="001F59FC">
        <w:rPr>
          <w:rFonts w:ascii="Arial" w:hAnsi="Arial" w:cs="Arial"/>
          <w:color w:val="0070C0"/>
          <w:sz w:val="24"/>
          <w:szCs w:val="24"/>
          <w:lang w:val="it-IT"/>
        </w:rPr>
        <w:t>)”.</w:t>
      </w:r>
    </w:p>
    <w:p w:rsidR="001F59FC" w:rsidRPr="00441E16" w:rsidRDefault="001F59FC" w:rsidP="00441E16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</w:p>
    <w:p w:rsidR="00BD2557" w:rsidRDefault="00BD2557" w:rsidP="00441E16">
      <w:pPr>
        <w:pStyle w:val="Default"/>
        <w:spacing w:line="276" w:lineRule="auto"/>
        <w:jc w:val="both"/>
        <w:rPr>
          <w:lang w:val="es-419"/>
        </w:rPr>
      </w:pPr>
    </w:p>
    <w:p w:rsidR="00BD2557" w:rsidRDefault="00BD2557" w:rsidP="00441E16">
      <w:pPr>
        <w:pStyle w:val="Default"/>
        <w:spacing w:line="276" w:lineRule="auto"/>
        <w:jc w:val="both"/>
        <w:rPr>
          <w:lang w:val="es-419"/>
        </w:rPr>
      </w:pP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Errores tipográficos </w:t>
      </w:r>
    </w:p>
    <w:p w:rsidR="00BD2557" w:rsidRPr="00441E16" w:rsidRDefault="00BD2557" w:rsidP="00441E16">
      <w:pPr>
        <w:pStyle w:val="Default"/>
        <w:spacing w:line="276" w:lineRule="auto"/>
        <w:jc w:val="both"/>
        <w:rPr>
          <w:lang w:val="es-419"/>
        </w:rPr>
      </w:pPr>
    </w:p>
    <w:p w:rsidR="001F59FC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>•p. 3: “en los casos en los en que mayor significa ‘adulto; de edad avanzada; anciano’” “en los casos en que mayor significa ‘adulto; de edad avanzada; anciano’”</w:t>
      </w:r>
      <w:r w:rsidR="00BD2557">
        <w:rPr>
          <w:lang w:val="es-419"/>
        </w:rPr>
        <w:t>.</w:t>
      </w:r>
      <w:r w:rsidRPr="00441E16">
        <w:rPr>
          <w:lang w:val="es-419"/>
        </w:rPr>
        <w:t xml:space="preserve"> </w:t>
      </w:r>
    </w:p>
    <w:p w:rsidR="001F59FC" w:rsidRPr="001F59FC" w:rsidRDefault="001F59FC" w:rsidP="00441E16">
      <w:pPr>
        <w:pStyle w:val="Default"/>
        <w:spacing w:line="276" w:lineRule="auto"/>
        <w:jc w:val="both"/>
        <w:rPr>
          <w:color w:val="0070C0"/>
          <w:lang w:val="es-419"/>
        </w:rPr>
      </w:pPr>
      <w:r w:rsidRPr="001F59FC">
        <w:rPr>
          <w:color w:val="0070C0"/>
          <w:lang w:val="es-419"/>
        </w:rPr>
        <w:t>P. 3. Se ha sustituido por “</w:t>
      </w:r>
      <w:r w:rsidRPr="001F59FC">
        <w:rPr>
          <w:color w:val="0070C0"/>
          <w:lang w:val="es-ES"/>
        </w:rPr>
        <w:t xml:space="preserve">en los casos en que </w:t>
      </w:r>
      <w:r w:rsidRPr="001F59FC">
        <w:rPr>
          <w:i/>
          <w:color w:val="0070C0"/>
          <w:lang w:val="es-ES"/>
        </w:rPr>
        <w:t>mayor</w:t>
      </w:r>
      <w:r w:rsidRPr="001F59FC">
        <w:rPr>
          <w:color w:val="0070C0"/>
          <w:lang w:val="es-ES"/>
        </w:rPr>
        <w:t xml:space="preserve"> significa ‘adulto; de edad avanzada; anciano’”.</w:t>
      </w:r>
    </w:p>
    <w:p w:rsidR="00441E16" w:rsidRDefault="00441E16" w:rsidP="00441E16">
      <w:pPr>
        <w:pStyle w:val="Default"/>
        <w:spacing w:line="276" w:lineRule="auto"/>
        <w:jc w:val="both"/>
        <w:rPr>
          <w:lang w:val="es-419"/>
        </w:rPr>
      </w:pPr>
    </w:p>
    <w:p w:rsidR="001F59FC" w:rsidRDefault="001F59FC" w:rsidP="00441E16">
      <w:pPr>
        <w:pStyle w:val="Default"/>
        <w:spacing w:line="276" w:lineRule="auto"/>
        <w:jc w:val="both"/>
        <w:rPr>
          <w:lang w:val="es-419"/>
        </w:rPr>
      </w:pPr>
    </w:p>
    <w:p w:rsidR="00BD2557" w:rsidRDefault="00441E16" w:rsidP="00BD2557">
      <w:pPr>
        <w:pStyle w:val="Default"/>
        <w:spacing w:after="120" w:line="276" w:lineRule="auto"/>
        <w:jc w:val="both"/>
        <w:rPr>
          <w:lang w:val="es-419"/>
        </w:rPr>
      </w:pPr>
      <w:r w:rsidRPr="00441E16">
        <w:rPr>
          <w:lang w:val="es-419"/>
        </w:rPr>
        <w:t xml:space="preserve">•p. 19: al final del párrafo anterior al ejemplo (16), falta una coma para marcar el inciso “esto es”: “varios de los ejemplos corresponden a la expresión mi más mejor amigo, esto es precedidos de un posesivo” “varios de los ejemplos corresponden a la expresión mi más mejor amigo, esto es, precedidos de un posesivo”. </w:t>
      </w:r>
    </w:p>
    <w:p w:rsidR="001F59FC" w:rsidRDefault="00BD2557" w:rsidP="00BD2557">
      <w:pPr>
        <w:spacing w:after="0" w:line="276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BD2557">
        <w:rPr>
          <w:rFonts w:ascii="Arial" w:hAnsi="Arial" w:cs="Arial"/>
          <w:color w:val="0070C0"/>
          <w:sz w:val="24"/>
          <w:szCs w:val="24"/>
          <w:lang w:val="es-419"/>
        </w:rPr>
        <w:t>P. 20. Se ha introducido coma: “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>Por otra parte, varios de los ejemplos corresponden a la expresión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 mi más mejor amigo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>, esto es, precedidos de un posesivo”.</w:t>
      </w:r>
    </w:p>
    <w:p w:rsidR="00BD2557" w:rsidRDefault="00BD2557" w:rsidP="00BD2557">
      <w:pPr>
        <w:spacing w:after="0" w:line="276" w:lineRule="auto"/>
        <w:jc w:val="both"/>
        <w:rPr>
          <w:rFonts w:ascii="Arial" w:hAnsi="Arial" w:cs="Arial"/>
          <w:color w:val="0070C0"/>
          <w:sz w:val="24"/>
          <w:szCs w:val="24"/>
          <w:lang w:val="es-419"/>
        </w:rPr>
      </w:pPr>
    </w:p>
    <w:p w:rsidR="00BD2557" w:rsidRPr="00BD2557" w:rsidRDefault="00BD2557" w:rsidP="00BD2557">
      <w:pPr>
        <w:spacing w:after="0" w:line="276" w:lineRule="auto"/>
        <w:jc w:val="both"/>
        <w:rPr>
          <w:rFonts w:ascii="Arial" w:hAnsi="Arial" w:cs="Arial"/>
          <w:color w:val="0070C0"/>
          <w:sz w:val="24"/>
          <w:szCs w:val="24"/>
          <w:lang w:val="es-419"/>
        </w:rPr>
      </w:pPr>
    </w:p>
    <w:p w:rsidR="005C0EE5" w:rsidRDefault="00441E16" w:rsidP="00BD2557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441E16">
        <w:rPr>
          <w:rFonts w:ascii="Arial" w:hAnsi="Arial" w:cs="Arial"/>
          <w:sz w:val="24"/>
          <w:szCs w:val="24"/>
          <w:lang w:val="es-419"/>
        </w:rPr>
        <w:t xml:space="preserve">•p. 24, nota 7: hay alguna falta de ortografía: “si lo son como sustantivos” </w:t>
      </w:r>
      <w:r w:rsidRPr="00BD2557">
        <w:rPr>
          <w:rFonts w:ascii="Arial" w:hAnsi="Arial" w:cs="Arial"/>
          <w:i/>
          <w:sz w:val="24"/>
          <w:szCs w:val="24"/>
          <w:lang w:val="es-419"/>
        </w:rPr>
        <w:t>si</w:t>
      </w:r>
      <w:r w:rsidRPr="00441E16">
        <w:rPr>
          <w:rFonts w:ascii="Arial" w:hAnsi="Arial" w:cs="Arial"/>
          <w:sz w:val="24"/>
          <w:szCs w:val="24"/>
          <w:lang w:val="es-419"/>
        </w:rPr>
        <w:t xml:space="preserve"> está funcionando como adverbio afirmativo y debe acentuarse: “sí lo son como sustantivos”. Los ejemplos integrados dentro de la nota deberían marcarse en cursiva; por ejemplo: </w:t>
      </w:r>
      <w:r w:rsidRPr="00BD2557">
        <w:rPr>
          <w:rFonts w:ascii="Arial" w:hAnsi="Arial" w:cs="Arial"/>
          <w:i/>
          <w:sz w:val="24"/>
          <w:szCs w:val="24"/>
          <w:lang w:val="es-419"/>
        </w:rPr>
        <w:t>una resolución mucho mayor a Argentina</w:t>
      </w:r>
      <w:r w:rsidRPr="00441E16">
        <w:rPr>
          <w:rFonts w:ascii="Arial" w:hAnsi="Arial" w:cs="Arial"/>
          <w:sz w:val="24"/>
          <w:szCs w:val="24"/>
          <w:lang w:val="es-419"/>
        </w:rPr>
        <w:t>.</w:t>
      </w:r>
    </w:p>
    <w:p w:rsidR="00BD2557" w:rsidRPr="00BD2557" w:rsidRDefault="00BD2557" w:rsidP="00BD2557">
      <w:pPr>
        <w:spacing w:after="120" w:line="276" w:lineRule="auto"/>
        <w:jc w:val="both"/>
        <w:rPr>
          <w:rFonts w:ascii="Arial" w:hAnsi="Arial" w:cs="Arial"/>
          <w:color w:val="0070C0"/>
          <w:sz w:val="24"/>
          <w:szCs w:val="24"/>
          <w:lang w:val="es-419"/>
        </w:rPr>
      </w:pPr>
      <w:r w:rsidRPr="00BD2557">
        <w:rPr>
          <w:rFonts w:ascii="Arial" w:hAnsi="Arial" w:cs="Arial"/>
          <w:color w:val="0070C0"/>
          <w:sz w:val="24"/>
          <w:szCs w:val="24"/>
          <w:lang w:val="es-419"/>
        </w:rPr>
        <w:t>P. 26, nota 5. Se ha puesto la tilde: “sí lo son como sustantivos”.</w:t>
      </w:r>
    </w:p>
    <w:p w:rsidR="00BD2557" w:rsidRPr="00BD2557" w:rsidRDefault="00BD2557" w:rsidP="00441E16">
      <w:p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s-419"/>
        </w:rPr>
      </w:pPr>
      <w:r w:rsidRPr="00BD2557">
        <w:rPr>
          <w:rFonts w:ascii="Arial" w:hAnsi="Arial" w:cs="Arial"/>
          <w:color w:val="0070C0"/>
          <w:sz w:val="24"/>
          <w:szCs w:val="24"/>
          <w:lang w:val="es-419"/>
        </w:rPr>
        <w:t>P. 26, nota 5. Se han marcado en cursiva los ejemplos: “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permite documentar casos de 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mayora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(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una resolución </w:t>
      </w:r>
      <w:proofErr w:type="gramStart"/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mucho </w:t>
      </w:r>
      <w:proofErr w:type="spellStart"/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mayora</w:t>
      </w:r>
      <w:proofErr w:type="spellEnd"/>
      <w:proofErr w:type="gramEnd"/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, Argentina), 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menora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(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yo tengo 33 y Joy es tres años y medio ‘menora’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, México), 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peora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(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refleja una situación peora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, Ecuador) y 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mejora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(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cualquier cosa es mejora que esa porqueria de </w:t>
      </w:r>
      <w:proofErr w:type="spellStart"/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pagina</w:t>
      </w:r>
      <w:proofErr w:type="spellEnd"/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 xml:space="preserve"> oficial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>, Colombia)”.</w:t>
      </w:r>
    </w:p>
    <w:p w:rsidR="00BD2557" w:rsidRDefault="00BD2557" w:rsidP="005C0EE5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5C0EE5" w:rsidRPr="005C0EE5" w:rsidRDefault="005C0EE5" w:rsidP="005C0EE5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BD2557">
        <w:rPr>
          <w:rFonts w:ascii="Arial" w:hAnsi="Arial" w:cs="Arial"/>
          <w:b/>
          <w:sz w:val="24"/>
          <w:szCs w:val="24"/>
          <w:lang w:val="es-419"/>
        </w:rPr>
        <w:t>Síntesis de las evaluaciones</w:t>
      </w:r>
      <w:r w:rsidRPr="005C0EE5">
        <w:rPr>
          <w:rFonts w:ascii="Arial" w:hAnsi="Arial" w:cs="Arial"/>
          <w:sz w:val="24"/>
          <w:szCs w:val="24"/>
          <w:lang w:val="es-419"/>
        </w:rPr>
        <w:t xml:space="preserve"> </w:t>
      </w:r>
      <w:r w:rsidRPr="00BD2557">
        <w:rPr>
          <w:rFonts w:ascii="Arial" w:hAnsi="Arial" w:cs="Arial"/>
          <w:b/>
          <w:sz w:val="24"/>
          <w:szCs w:val="24"/>
          <w:lang w:val="es-419"/>
        </w:rPr>
        <w:t>recibidas</w:t>
      </w:r>
      <w:r w:rsidRPr="005C0EE5">
        <w:rPr>
          <w:rFonts w:ascii="Arial" w:hAnsi="Arial" w:cs="Arial"/>
          <w:sz w:val="24"/>
          <w:szCs w:val="24"/>
          <w:lang w:val="es-419"/>
        </w:rPr>
        <w:t>: es necesario, sin embargo, ampliar la bibliografía consultada, puesto que gran parte de las explicaciones se fundamentan en los contenidos de la NGLE (RAE/ASALE 2009).</w:t>
      </w:r>
    </w:p>
    <w:p w:rsidR="005C0EE5" w:rsidRPr="005C0EE5" w:rsidRDefault="005C0EE5" w:rsidP="005C0EE5">
      <w:p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s-419"/>
        </w:rPr>
      </w:pPr>
      <w:r w:rsidRPr="005C0EE5">
        <w:rPr>
          <w:rFonts w:ascii="Arial" w:hAnsi="Arial" w:cs="Arial"/>
          <w:color w:val="0070C0"/>
          <w:sz w:val="24"/>
          <w:szCs w:val="24"/>
          <w:lang w:val="es-419"/>
        </w:rPr>
        <w:t xml:space="preserve">Para atender esta recomendación, se han introducido varias referencias bibliográficas nuevas tanto en el cuerpo del texto como </w:t>
      </w:r>
      <w:r>
        <w:rPr>
          <w:rFonts w:ascii="Arial" w:hAnsi="Arial" w:cs="Arial"/>
          <w:color w:val="0070C0"/>
          <w:sz w:val="24"/>
          <w:szCs w:val="24"/>
          <w:lang w:val="es-419"/>
        </w:rPr>
        <w:t xml:space="preserve">en las notas, así como 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 xml:space="preserve">en la sección final de </w:t>
      </w:r>
      <w:r>
        <w:rPr>
          <w:rFonts w:ascii="Arial" w:hAnsi="Arial" w:cs="Arial"/>
          <w:color w:val="0070C0"/>
          <w:sz w:val="24"/>
          <w:szCs w:val="24"/>
          <w:lang w:val="es-419"/>
        </w:rPr>
        <w:t xml:space="preserve">Referencias bibliográficas, según 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>detallamos a continuación:</w:t>
      </w:r>
    </w:p>
    <w:p w:rsidR="005C0EE5" w:rsidRPr="005C0EE5" w:rsidRDefault="005C0EE5" w:rsidP="00BD2557">
      <w:p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5C0EE5">
        <w:rPr>
          <w:rFonts w:ascii="Arial" w:hAnsi="Arial" w:cs="Arial"/>
          <w:color w:val="0070C0"/>
          <w:sz w:val="24"/>
          <w:szCs w:val="24"/>
          <w:lang w:val="es-ES_tradnl"/>
        </w:rPr>
        <w:lastRenderedPageBreak/>
        <w:t>P. 14. “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Como es sabido, esta es una de las principales diferencias señaladas entre los adjetivos comparativos y los adjetivos </w:t>
      </w:r>
      <w:r w:rsidRPr="00BD2557">
        <w:rPr>
          <w:rFonts w:ascii="Arial" w:hAnsi="Arial" w:cs="Arial"/>
          <w:color w:val="0070C0"/>
          <w:sz w:val="24"/>
          <w:szCs w:val="24"/>
          <w:lang w:val="es-419"/>
        </w:rPr>
        <w:t>positivos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. Así, Bosque (1999: 230-231) indica que la forma 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mucho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se apocopa (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muy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>) cuando no incide sobre sintagmas comparativos: *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mucho alto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/ 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mucho más alto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; 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muy alto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/ *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muy más alto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. Por este motivo, 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mucho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aparece ante adjetivos comparativos sintéticos (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mucho mejor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/ *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muy mejor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). La asimetría existente entre 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mucho mejor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y *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mucho superior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(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muy superior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) se explica, según este autor, por el hecho de que 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mejor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, al ser adjetivo comparativo, “incorpora léxicamente la información semántica necesaria para que se comporte como un sintagma comparativo” (Bosque 1999: 231), mientras que 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superior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es un adjetivo calificativo no comparativo”.</w:t>
      </w:r>
    </w:p>
    <w:p w:rsidR="005C0EE5" w:rsidRPr="00BD2557" w:rsidRDefault="005C0EE5" w:rsidP="00BD2557">
      <w:p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s-419"/>
        </w:rPr>
      </w:pPr>
      <w:r w:rsidRPr="005C0EE5">
        <w:rPr>
          <w:rFonts w:ascii="Arial" w:hAnsi="Arial" w:cs="Arial"/>
          <w:color w:val="0070C0"/>
          <w:sz w:val="24"/>
          <w:szCs w:val="24"/>
          <w:lang w:val="es-ES"/>
        </w:rPr>
        <w:t>P. 14, nota 6</w:t>
      </w:r>
      <w:r w:rsidR="00BD2557">
        <w:rPr>
          <w:rFonts w:ascii="Arial" w:hAnsi="Arial" w:cs="Arial"/>
          <w:color w:val="0070C0"/>
          <w:sz w:val="24"/>
          <w:szCs w:val="24"/>
          <w:lang w:val="es-ES"/>
        </w:rPr>
        <w:t>.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“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 xml:space="preserve">Para el caso de </w:t>
      </w:r>
      <w:r w:rsidRPr="005C0EE5">
        <w:rPr>
          <w:rFonts w:ascii="Arial" w:hAnsi="Arial" w:cs="Arial"/>
          <w:i/>
          <w:color w:val="0070C0"/>
          <w:sz w:val="24"/>
          <w:szCs w:val="24"/>
          <w:lang w:val="es-419"/>
        </w:rPr>
        <w:t>mucho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 xml:space="preserve"> como cuantificador de adjetivos y adverbios véase Pato y Viejo Fernández (2017)”.</w:t>
      </w:r>
    </w:p>
    <w:p w:rsidR="005C0EE5" w:rsidRDefault="00BD2557" w:rsidP="00BD2557">
      <w:pPr>
        <w:spacing w:line="276" w:lineRule="auto"/>
        <w:jc w:val="both"/>
        <w:rPr>
          <w:color w:val="0070C0"/>
          <w:lang w:val="es-ES"/>
        </w:rPr>
      </w:pPr>
      <w:r w:rsidRPr="005D0887">
        <w:rPr>
          <w:rFonts w:ascii="Arial" w:hAnsi="Arial" w:cs="Arial"/>
          <w:color w:val="0070C0"/>
          <w:sz w:val="24"/>
          <w:szCs w:val="24"/>
          <w:lang w:val="es-419"/>
        </w:rPr>
        <w:t>P. 14, nota 7.</w:t>
      </w:r>
      <w:r w:rsidR="005C0EE5" w:rsidRPr="005D0887">
        <w:rPr>
          <w:color w:val="0070C0"/>
          <w:lang w:val="es-419"/>
        </w:rPr>
        <w:t> “</w:t>
      </w:r>
      <w:r w:rsidR="005C0EE5"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Por su parte, Piera y Varela (1999: 4398) consideran que los comparativos sintéticos </w:t>
      </w:r>
      <w:r w:rsidR="005C0EE5"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mejor</w:t>
      </w:r>
      <w:r w:rsidR="005C0EE5"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y </w:t>
      </w:r>
      <w:r w:rsidR="005C0EE5"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peor</w:t>
      </w:r>
      <w:r w:rsidR="005C0EE5"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son palabras policategoriales, esto es, palabras que “tanto formal como semánticamente equivalen a dos categorías sucesivas distintas”. En el caso de los comparativos sintéticos, se trataría de adjetivos o adverbios al tiempo que de sintagmas cuantificativos</w:t>
      </w:r>
      <w:r w:rsidR="005C0EE5">
        <w:rPr>
          <w:color w:val="0070C0"/>
          <w:lang w:val="es-ES"/>
        </w:rPr>
        <w:t>”</w:t>
      </w:r>
      <w:r w:rsidR="005C0EE5" w:rsidRPr="005C0EE5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5C0EE5" w:rsidRDefault="00BD2557" w:rsidP="00BD2557">
      <w:pPr>
        <w:spacing w:line="276" w:lineRule="auto"/>
        <w:jc w:val="both"/>
        <w:rPr>
          <w:color w:val="0070C0"/>
          <w:lang w:val="es-ES"/>
        </w:rPr>
      </w:pPr>
      <w:r w:rsidRPr="00BD2557">
        <w:rPr>
          <w:rFonts w:ascii="Arial" w:hAnsi="Arial" w:cs="Arial"/>
          <w:color w:val="0070C0"/>
          <w:sz w:val="24"/>
          <w:szCs w:val="24"/>
          <w:lang w:val="es-ES"/>
        </w:rPr>
        <w:t>P. 16.</w:t>
      </w:r>
      <w:r w:rsidR="005C0EE5"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</w:t>
      </w:r>
      <w:r w:rsidR="005C0EE5" w:rsidRPr="005D0887">
        <w:rPr>
          <w:rFonts w:ascii="Arial" w:hAnsi="Arial" w:cs="Arial"/>
          <w:color w:val="0070C0"/>
          <w:sz w:val="24"/>
          <w:szCs w:val="24"/>
          <w:lang w:val="es-419"/>
        </w:rPr>
        <w:t>“</w:t>
      </w:r>
      <w:r w:rsidR="005C0EE5" w:rsidRPr="00BD2557">
        <w:rPr>
          <w:rFonts w:ascii="Arial" w:hAnsi="Arial" w:cs="Arial"/>
          <w:color w:val="0070C0"/>
          <w:sz w:val="24"/>
          <w:szCs w:val="24"/>
          <w:lang w:val="es-ES"/>
        </w:rPr>
        <w:t>Por su</w:t>
      </w:r>
      <w:r w:rsidR="005C0EE5"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parte, Bosque (1999: 231) explica el par </w:t>
      </w:r>
      <w:r w:rsidR="005C0EE5"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mucho mayor</w:t>
      </w:r>
      <w:r w:rsidR="005C0EE5"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/ </w:t>
      </w:r>
      <w:r w:rsidR="005C0EE5"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muy mayor</w:t>
      </w:r>
      <w:r w:rsidR="005C0EE5"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indicando que en el primer caso </w:t>
      </w:r>
      <w:r w:rsidR="005C0EE5"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mayor</w:t>
      </w:r>
      <w:r w:rsidR="005C0EE5"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 es comparativo, mientras que en el segundo se trata de un adjetivo calificativo simple que posee el significado de ‘anciano’ o ‘crecido’</w:t>
      </w:r>
      <w:r w:rsidR="005C0EE5">
        <w:rPr>
          <w:color w:val="0070C0"/>
          <w:lang w:val="es-ES"/>
        </w:rPr>
        <w:t>”</w:t>
      </w:r>
      <w:r w:rsidR="005C0EE5" w:rsidRPr="005C0EE5">
        <w:rPr>
          <w:rFonts w:ascii="Arial" w:hAnsi="Arial" w:cs="Arial"/>
          <w:color w:val="0070C0"/>
          <w:sz w:val="24"/>
          <w:szCs w:val="24"/>
          <w:lang w:val="es-ES"/>
        </w:rPr>
        <w:t>.</w:t>
      </w:r>
    </w:p>
    <w:p w:rsidR="005C0EE5" w:rsidRPr="00BD2557" w:rsidRDefault="00BD2557" w:rsidP="00BD2557">
      <w:p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BD2557">
        <w:rPr>
          <w:rFonts w:ascii="Arial" w:hAnsi="Arial" w:cs="Arial"/>
          <w:color w:val="0070C0"/>
          <w:sz w:val="24"/>
          <w:szCs w:val="24"/>
          <w:lang w:val="es-ES"/>
        </w:rPr>
        <w:t>P. 18.</w:t>
      </w:r>
      <w:r w:rsidR="005C0EE5"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“Por su parte, el </w:t>
      </w:r>
      <w:r w:rsidR="005C0EE5"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Diccionario panhispánico de dudas</w:t>
      </w:r>
      <w:r w:rsidR="005C0EE5"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(RAE/ASALE 2005) señala que entre los usos no comparativos de </w:t>
      </w:r>
      <w:r w:rsidR="005C0EE5"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menor</w:t>
      </w:r>
      <w:r w:rsidR="005C0EE5"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se encuentra aquel en el que este adjetivo es sinónimo de </w:t>
      </w:r>
      <w:r w:rsidR="005C0EE5"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pequeño</w:t>
      </w:r>
      <w:r w:rsidR="005C0EE5" w:rsidRPr="00BD2557">
        <w:rPr>
          <w:rFonts w:ascii="Arial" w:hAnsi="Arial" w:cs="Arial"/>
          <w:color w:val="0070C0"/>
          <w:sz w:val="24"/>
          <w:szCs w:val="24"/>
          <w:lang w:val="es-ES"/>
        </w:rPr>
        <w:t>”.</w:t>
      </w:r>
    </w:p>
    <w:p w:rsidR="005C0EE5" w:rsidRPr="005C0EE5" w:rsidRDefault="005C0EE5" w:rsidP="00BD2557">
      <w:p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s-ES"/>
        </w:rPr>
      </w:pP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P. 19: “De hecho, el 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Diccionario panhispánico de dudas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(RAE/ASALE 2005) ofrece otros usos no comparativos de 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menor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>, además de aquel en el que este adjetivo presenta significado temporal: a) con el significado ‘de importancia o categoría secundarias’ (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poetas menores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) (cf. 15c, 15d); b) como equivalente de 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ninguno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 xml:space="preserve"> en oraciones negativas, precedido de artículo y antepuesto al sustantivo (</w:t>
      </w:r>
      <w:r w:rsidRPr="00BD2557">
        <w:rPr>
          <w:rFonts w:ascii="Arial" w:hAnsi="Arial" w:cs="Arial"/>
          <w:i/>
          <w:color w:val="0070C0"/>
          <w:sz w:val="24"/>
          <w:szCs w:val="24"/>
          <w:lang w:val="es-ES"/>
        </w:rPr>
        <w:t>No hice el menor comentario</w:t>
      </w:r>
      <w:r w:rsidRPr="00BD2557">
        <w:rPr>
          <w:rFonts w:ascii="Arial" w:hAnsi="Arial" w:cs="Arial"/>
          <w:color w:val="0070C0"/>
          <w:sz w:val="24"/>
          <w:szCs w:val="24"/>
          <w:lang w:val="es-ES"/>
        </w:rPr>
        <w:t>) (cf. 15b)”.</w:t>
      </w:r>
    </w:p>
    <w:p w:rsidR="005C0EE5" w:rsidRDefault="005C0EE5" w:rsidP="005C0EE5">
      <w:pPr>
        <w:pStyle w:val="Default"/>
        <w:spacing w:line="276" w:lineRule="auto"/>
        <w:jc w:val="both"/>
        <w:rPr>
          <w:color w:val="0070C0"/>
          <w:lang w:val="es-ES"/>
        </w:rPr>
      </w:pPr>
    </w:p>
    <w:p w:rsidR="005C0EE5" w:rsidRDefault="005C0EE5" w:rsidP="005C0EE5">
      <w:pPr>
        <w:pStyle w:val="Default"/>
        <w:spacing w:line="360" w:lineRule="auto"/>
        <w:jc w:val="both"/>
        <w:rPr>
          <w:color w:val="0070C0"/>
          <w:lang w:val="es-ES"/>
        </w:rPr>
      </w:pPr>
      <w:r>
        <w:rPr>
          <w:color w:val="0070C0"/>
          <w:lang w:val="es-ES"/>
        </w:rPr>
        <w:t>Referencias bibliográficas</w:t>
      </w:r>
    </w:p>
    <w:p w:rsidR="005C0EE5" w:rsidRPr="005C0EE5" w:rsidRDefault="005C0EE5" w:rsidP="00BD2557">
      <w:pPr>
        <w:spacing w:after="120" w:line="240" w:lineRule="auto"/>
        <w:ind w:left="709" w:hanging="709"/>
        <w:jc w:val="both"/>
        <w:outlineLvl w:val="0"/>
        <w:rPr>
          <w:rFonts w:ascii="Arial" w:hAnsi="Arial" w:cs="Arial"/>
          <w:color w:val="0070C0"/>
          <w:sz w:val="24"/>
          <w:szCs w:val="24"/>
          <w:lang w:val="es-419"/>
        </w:rPr>
      </w:pP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Bosque, I. (1999). 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 xml:space="preserve">El sintagma adjetival. Modificadores y complementos del adjetivo. Adjetivo y participio. En Bosque, I. y Demonte, V. (Dirs.), </w:t>
      </w:r>
      <w:r w:rsidRPr="005C0EE5">
        <w:rPr>
          <w:rFonts w:ascii="Arial" w:hAnsi="Arial" w:cs="Arial"/>
          <w:i/>
          <w:color w:val="0070C0"/>
          <w:sz w:val="24"/>
          <w:szCs w:val="24"/>
          <w:lang w:val="es-419"/>
        </w:rPr>
        <w:t>Gramática descriptiva de la lengua española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>, vol. 1 (pp. 217-310). Madrid: Espasa-Calpe.</w:t>
      </w:r>
    </w:p>
    <w:p w:rsidR="005C0EE5" w:rsidRPr="005C0EE5" w:rsidRDefault="005C0EE5" w:rsidP="00BD2557">
      <w:pPr>
        <w:spacing w:after="120" w:line="240" w:lineRule="auto"/>
        <w:ind w:left="709" w:hanging="709"/>
        <w:jc w:val="both"/>
        <w:outlineLvl w:val="0"/>
        <w:rPr>
          <w:rFonts w:ascii="Arial" w:hAnsi="Arial" w:cs="Arial"/>
          <w:color w:val="0070C0"/>
          <w:sz w:val="24"/>
          <w:szCs w:val="24"/>
          <w:lang w:val="es-ES"/>
        </w:rPr>
      </w:pPr>
      <w:r w:rsidRPr="005C0EE5">
        <w:rPr>
          <w:rFonts w:ascii="Arial" w:hAnsi="Arial" w:cs="Arial"/>
          <w:color w:val="0070C0"/>
          <w:sz w:val="24"/>
          <w:szCs w:val="24"/>
          <w:lang w:val="es-ES_tradnl"/>
        </w:rPr>
        <w:lastRenderedPageBreak/>
        <w:t xml:space="preserve">Pato, E. y Viejo Fernández, X. (2017). </w:t>
      </w:r>
      <w:r w:rsidRPr="005C0EE5">
        <w:rPr>
          <w:rFonts w:ascii="Arial" w:hAnsi="Arial" w:cs="Arial"/>
          <w:i/>
          <w:color w:val="0070C0"/>
          <w:sz w:val="24"/>
          <w:szCs w:val="24"/>
          <w:lang w:val="es-419"/>
        </w:rPr>
        <w:t xml:space="preserve">Mu(n)cho guapa 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>y</w:t>
      </w:r>
      <w:r w:rsidRPr="005C0EE5">
        <w:rPr>
          <w:rFonts w:ascii="Arial" w:hAnsi="Arial" w:cs="Arial"/>
          <w:i/>
          <w:color w:val="0070C0"/>
          <w:sz w:val="24"/>
          <w:szCs w:val="24"/>
          <w:lang w:val="es-419"/>
        </w:rPr>
        <w:t xml:space="preserve"> mu(n)cho bien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 xml:space="preserve">: </w:t>
      </w:r>
      <w:r w:rsidRPr="005C0EE5">
        <w:rPr>
          <w:rFonts w:ascii="Arial" w:hAnsi="Arial" w:cs="Arial"/>
          <w:i/>
          <w:color w:val="0070C0"/>
          <w:sz w:val="24"/>
          <w:szCs w:val="24"/>
          <w:lang w:val="es-419"/>
        </w:rPr>
        <w:t>mu(n)cho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 xml:space="preserve"> como cuantificador ‘pleno’ de adjetivos y adverbios en castellano y en asturiano. </w:t>
      </w:r>
      <w:r w:rsidRPr="005C0EE5">
        <w:rPr>
          <w:rFonts w:ascii="Arial" w:hAnsi="Arial" w:cs="Arial"/>
          <w:i/>
          <w:color w:val="0070C0"/>
          <w:sz w:val="24"/>
          <w:szCs w:val="24"/>
          <w:lang w:val="es-419"/>
        </w:rPr>
        <w:t>Bulletin of Spanish Studies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>, 94(1), 1-23.</w:t>
      </w:r>
    </w:p>
    <w:p w:rsidR="005C0EE5" w:rsidRPr="005C0EE5" w:rsidRDefault="005C0EE5" w:rsidP="00BD2557">
      <w:pPr>
        <w:spacing w:after="120" w:line="240" w:lineRule="auto"/>
        <w:ind w:left="709" w:hanging="709"/>
        <w:jc w:val="both"/>
        <w:outlineLvl w:val="0"/>
        <w:rPr>
          <w:rFonts w:ascii="Arial" w:hAnsi="Arial" w:cs="Arial"/>
          <w:color w:val="0070C0"/>
          <w:sz w:val="24"/>
          <w:szCs w:val="24"/>
          <w:lang w:val="es-419"/>
        </w:rPr>
      </w:pP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Piera, C. y Varela, S. (1999). 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 xml:space="preserve">Relaciones entre morfología y sintaxis. En Bosque, I. y Demonte, V. (Dirs.), </w:t>
      </w:r>
      <w:r w:rsidRPr="005C0EE5">
        <w:rPr>
          <w:rFonts w:ascii="Arial" w:hAnsi="Arial" w:cs="Arial"/>
          <w:i/>
          <w:color w:val="0070C0"/>
          <w:sz w:val="24"/>
          <w:szCs w:val="24"/>
          <w:lang w:val="es-419"/>
        </w:rPr>
        <w:t>Gramática descriptiva de la lengua española</w:t>
      </w:r>
      <w:r w:rsidRPr="005C0EE5">
        <w:rPr>
          <w:rFonts w:ascii="Arial" w:hAnsi="Arial" w:cs="Arial"/>
          <w:color w:val="0070C0"/>
          <w:sz w:val="24"/>
          <w:szCs w:val="24"/>
          <w:lang w:val="es-419"/>
        </w:rPr>
        <w:t>, vol. 3 (pp. 4367-4422). Madrid: Espasa-Calpe.</w:t>
      </w:r>
    </w:p>
    <w:p w:rsidR="005C0EE5" w:rsidRPr="005C0EE5" w:rsidRDefault="005C0EE5" w:rsidP="005C0EE5">
      <w:pPr>
        <w:spacing w:after="0" w:line="240" w:lineRule="auto"/>
        <w:ind w:left="709" w:hanging="709"/>
        <w:jc w:val="both"/>
        <w:outlineLvl w:val="0"/>
        <w:rPr>
          <w:rStyle w:val="Lienhypertexte"/>
          <w:rFonts w:ascii="Arial" w:hAnsi="Arial" w:cs="Arial"/>
          <w:color w:val="0070C0"/>
          <w:sz w:val="24"/>
          <w:szCs w:val="24"/>
          <w:lang w:val="es-ES"/>
        </w:rPr>
      </w:pP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Real Academia Española. </w:t>
      </w:r>
      <w:r w:rsidRPr="005C0EE5">
        <w:rPr>
          <w:rFonts w:ascii="Arial" w:hAnsi="Arial" w:cs="Arial"/>
          <w:i/>
          <w:color w:val="0070C0"/>
          <w:sz w:val="24"/>
          <w:szCs w:val="24"/>
          <w:lang w:val="es-ES"/>
        </w:rPr>
        <w:t>Banco de datos CORDE. Corpus diacrónico del español</w:t>
      </w:r>
      <w:r w:rsidRPr="005C0EE5">
        <w:rPr>
          <w:rFonts w:ascii="Arial" w:hAnsi="Arial" w:cs="Arial"/>
          <w:color w:val="0070C0"/>
          <w:sz w:val="24"/>
          <w:szCs w:val="24"/>
          <w:lang w:val="es-ES"/>
        </w:rPr>
        <w:t xml:space="preserve">. Madrid: RAE [en línea]. Disponible en: </w:t>
      </w:r>
      <w:hyperlink r:id="rId6" w:history="1">
        <w:r w:rsidRPr="005C0EE5">
          <w:rPr>
            <w:rStyle w:val="Lienhypertexte"/>
            <w:rFonts w:ascii="Arial" w:hAnsi="Arial" w:cs="Arial"/>
            <w:color w:val="0070C0"/>
            <w:sz w:val="24"/>
            <w:szCs w:val="24"/>
            <w:lang w:val="es-ES"/>
          </w:rPr>
          <w:t>www.rae.es</w:t>
        </w:r>
      </w:hyperlink>
    </w:p>
    <w:p w:rsidR="005C0EE5" w:rsidRPr="00102EF6" w:rsidRDefault="005C0EE5" w:rsidP="005C0EE5">
      <w:pPr>
        <w:spacing w:after="0" w:line="360" w:lineRule="auto"/>
        <w:ind w:left="709" w:hanging="709"/>
        <w:jc w:val="both"/>
        <w:outlineLvl w:val="0"/>
        <w:rPr>
          <w:rFonts w:ascii="Times New Roman" w:hAnsi="Times New Roman" w:cs="Times New Roman"/>
          <w:sz w:val="24"/>
          <w:szCs w:val="24"/>
          <w:lang w:val="es-419"/>
        </w:rPr>
      </w:pPr>
    </w:p>
    <w:p w:rsidR="005C0EE5" w:rsidRPr="005C0EE5" w:rsidRDefault="005C0EE5" w:rsidP="005C0EE5">
      <w:pPr>
        <w:pStyle w:val="Default"/>
        <w:spacing w:line="276" w:lineRule="auto"/>
        <w:jc w:val="both"/>
        <w:rPr>
          <w:color w:val="0070C0"/>
          <w:lang w:val="es-ES"/>
        </w:rPr>
      </w:pPr>
    </w:p>
    <w:p w:rsidR="005C0EE5" w:rsidRPr="005C0EE5" w:rsidRDefault="005C0EE5" w:rsidP="00441E16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5C0EE5" w:rsidRPr="005C0EE5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A6" w:rsidRDefault="00D671A6" w:rsidP="005C0EE5">
      <w:pPr>
        <w:spacing w:after="0" w:line="240" w:lineRule="auto"/>
      </w:pPr>
      <w:r>
        <w:separator/>
      </w:r>
    </w:p>
  </w:endnote>
  <w:endnote w:type="continuationSeparator" w:id="0">
    <w:p w:rsidR="00D671A6" w:rsidRDefault="00D671A6" w:rsidP="005C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34812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5C0EE5" w:rsidRPr="00FF2556" w:rsidRDefault="005C0EE5">
        <w:pPr>
          <w:pStyle w:val="Pieddepage"/>
          <w:jc w:val="right"/>
          <w:rPr>
            <w:rFonts w:ascii="Arial" w:hAnsi="Arial" w:cs="Arial"/>
            <w:sz w:val="24"/>
          </w:rPr>
        </w:pPr>
        <w:r w:rsidRPr="00FF2556">
          <w:rPr>
            <w:rFonts w:ascii="Arial" w:hAnsi="Arial" w:cs="Arial"/>
            <w:sz w:val="24"/>
          </w:rPr>
          <w:fldChar w:fldCharType="begin"/>
        </w:r>
        <w:r w:rsidRPr="00FF2556">
          <w:rPr>
            <w:rFonts w:ascii="Arial" w:hAnsi="Arial" w:cs="Arial"/>
            <w:sz w:val="24"/>
          </w:rPr>
          <w:instrText>PAGE   \* MERGEFORMAT</w:instrText>
        </w:r>
        <w:r w:rsidRPr="00FF2556">
          <w:rPr>
            <w:rFonts w:ascii="Arial" w:hAnsi="Arial" w:cs="Arial"/>
            <w:sz w:val="24"/>
          </w:rPr>
          <w:fldChar w:fldCharType="separate"/>
        </w:r>
        <w:r w:rsidR="003613CF" w:rsidRPr="003613CF">
          <w:rPr>
            <w:rFonts w:ascii="Arial" w:hAnsi="Arial" w:cs="Arial"/>
            <w:noProof/>
            <w:sz w:val="24"/>
            <w:lang w:val="es-ES"/>
          </w:rPr>
          <w:t>8</w:t>
        </w:r>
        <w:r w:rsidRPr="00FF2556">
          <w:rPr>
            <w:rFonts w:ascii="Arial" w:hAnsi="Arial" w:cs="Arial"/>
            <w:sz w:val="24"/>
          </w:rPr>
          <w:fldChar w:fldCharType="end"/>
        </w:r>
      </w:p>
    </w:sdtContent>
  </w:sdt>
  <w:p w:rsidR="005C0EE5" w:rsidRDefault="005C0E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A6" w:rsidRDefault="00D671A6" w:rsidP="005C0EE5">
      <w:pPr>
        <w:spacing w:after="0" w:line="240" w:lineRule="auto"/>
      </w:pPr>
      <w:r>
        <w:separator/>
      </w:r>
    </w:p>
  </w:footnote>
  <w:footnote w:type="continuationSeparator" w:id="0">
    <w:p w:rsidR="00D671A6" w:rsidRDefault="00D671A6" w:rsidP="005C0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16"/>
    <w:rsid w:val="000A28A2"/>
    <w:rsid w:val="001F59FC"/>
    <w:rsid w:val="0024546C"/>
    <w:rsid w:val="003613CF"/>
    <w:rsid w:val="00441E16"/>
    <w:rsid w:val="005C0EE5"/>
    <w:rsid w:val="005D0887"/>
    <w:rsid w:val="00765A7C"/>
    <w:rsid w:val="008F4AC2"/>
    <w:rsid w:val="009D56B4"/>
    <w:rsid w:val="00BD2557"/>
    <w:rsid w:val="00C6157F"/>
    <w:rsid w:val="00D671A6"/>
    <w:rsid w:val="00D809AD"/>
    <w:rsid w:val="00DC10DA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2F0C"/>
  <w15:chartTrackingRefBased/>
  <w15:docId w15:val="{61479BAF-3A6F-4D32-A981-B8ECD2E0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4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p8">
    <w:name w:val="dp8"/>
    <w:basedOn w:val="Policepardfaut"/>
    <w:rsid w:val="009D56B4"/>
  </w:style>
  <w:style w:type="paragraph" w:styleId="Notedefin">
    <w:name w:val="endnote text"/>
    <w:basedOn w:val="Normal"/>
    <w:link w:val="NotedefinCar"/>
    <w:uiPriority w:val="99"/>
    <w:unhideWhenUsed/>
    <w:rsid w:val="005C0EE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5C0EE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C0EE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C0EE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C0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EE5"/>
  </w:style>
  <w:style w:type="paragraph" w:styleId="Pieddepage">
    <w:name w:val="footer"/>
    <w:basedOn w:val="Normal"/>
    <w:link w:val="PieddepageCar"/>
    <w:uiPriority w:val="99"/>
    <w:unhideWhenUsed/>
    <w:rsid w:val="005C0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e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2469</Words>
  <Characters>13582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Pato-Maldonado Enrique</dc:creator>
  <cp:keywords/>
  <dc:description/>
  <cp:lastModifiedBy>Pato-Maldonado Enrique</cp:lastModifiedBy>
  <cp:revision>9</cp:revision>
  <dcterms:created xsi:type="dcterms:W3CDTF">2020-03-04T08:24:00Z</dcterms:created>
  <dcterms:modified xsi:type="dcterms:W3CDTF">2020-03-04T14:54:00Z</dcterms:modified>
</cp:coreProperties>
</file>